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7016"/>
        <w:gridCol w:w="2339"/>
      </w:tblGrid>
      <w:tr w:rsidR="00167A62">
        <w:tc>
          <w:tcPr>
            <w:tcW w:w="3750" w:type="pct"/>
            <w:tcBorders>
              <w:top w:val="nil"/>
              <w:left w:val="nil"/>
              <w:bottom w:val="nil"/>
              <w:right w:val="nil"/>
            </w:tcBorders>
          </w:tcPr>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after="120" w:line="300" w:lineRule="auto"/>
              <w:rPr>
                <w:rFonts w:ascii="Times New Roman" w:hAnsi="Times New Roman" w:cs="Times New Roman"/>
                <w:color w:val="000000"/>
                <w:sz w:val="24"/>
                <w:szCs w:val="24"/>
              </w:rPr>
            </w:pPr>
            <w:bookmarkStart w:id="1" w:name="CN__утв_1"/>
            <w:bookmarkEnd w:id="1"/>
            <w:r>
              <w:rPr>
                <w:rFonts w:ascii="Times New Roman" w:hAnsi="Times New Roman" w:cs="Times New Roman"/>
                <w:color w:val="000000"/>
                <w:sz w:val="24"/>
                <w:szCs w:val="24"/>
              </w:rPr>
              <w:t>УТВЕРЖДЕНО</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28.03.2016 № 248</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2" w:name="CA0_ГСП__1CN__заг_утв_1"/>
      <w:bookmarkEnd w:id="2"/>
      <w:r>
        <w:rPr>
          <w:rFonts w:ascii="Times New Roman" w:hAnsi="Times New Roman" w:cs="Times New Roman"/>
          <w:b/>
          <w:color w:val="000000"/>
          <w:sz w:val="24"/>
          <w:szCs w:val="24"/>
        </w:rPr>
        <w:t>ГОСУДАРСТВЕННАЯ ПРОГРАММА</w:t>
      </w:r>
      <w:r>
        <w:rPr>
          <w:rFonts w:ascii="Times New Roman" w:hAnsi="Times New Roman" w:cs="Times New Roman"/>
          <w:b/>
          <w:color w:val="000000"/>
          <w:sz w:val="24"/>
          <w:szCs w:val="24"/>
        </w:rPr>
        <w:br/>
        <w:t>«Энергосбережение» на 2016–2020 годы</w:t>
      </w:r>
      <w:r w:rsidR="00B67A41">
        <w:rPr>
          <w:rFonts w:ascii="Times New Roman" w:hAnsi="Times New Roman" w:cs="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r>
        <w:rPr>
          <w:rFonts w:ascii="Times New Roman" w:hAnsi="Times New Roman" w:cs="Times New Roman"/>
          <w:b/>
          <w:color w:val="000000"/>
          <w:sz w:val="24"/>
          <w:szCs w:val="24"/>
        </w:rPr>
        <w:t>РАЗДЕЛ I</w:t>
      </w:r>
      <w:r>
        <w:rPr>
          <w:rFonts w:ascii="Times New Roman" w:hAnsi="Times New Roman" w:cs="Times New Roman"/>
          <w:b/>
          <w:color w:val="000000"/>
          <w:sz w:val="24"/>
          <w:szCs w:val="24"/>
        </w:rPr>
        <w:br/>
        <w:t>ОБЩИЕ ПОЛОЖЕНИЯ</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3" w:name="CA0_ГСП__1_РЗ_I_1_ГЛ_1_1CN__chapter_1"/>
      <w:bookmarkEnd w:id="3"/>
      <w:r>
        <w:rPr>
          <w:rFonts w:ascii="Times New Roman" w:hAnsi="Times New Roman" w:cs="Times New Roman"/>
          <w:b/>
          <w:color w:val="000000"/>
          <w:sz w:val="24"/>
          <w:szCs w:val="24"/>
        </w:rPr>
        <w:t>ГЛАВА 1</w:t>
      </w:r>
      <w:r>
        <w:rPr>
          <w:rFonts w:ascii="Times New Roman" w:hAnsi="Times New Roman" w:cs="Times New Roman"/>
          <w:b/>
          <w:color w:val="000000"/>
          <w:sz w:val="24"/>
          <w:szCs w:val="24"/>
        </w:rPr>
        <w:br/>
        <w:t>ТЕХНИКО-ЭКОНОМИЧЕСКОЕ ОБОСНОВАНИЕ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конкурентоспособности экономики, обеспечение энергетической безопасности и энергетической независимости за счет повышения энергоэффективности и увеличения использования собственных топливно-энергетических ресурсов (далее – ТЭР), в том числе возобновляемых источников энергии (далее – ВИЭ), является приоритетом развития страны на 2016–2020 годы.</w:t>
      </w:r>
      <w:r w:rsidR="00B67A41">
        <w:rPr>
          <w:rFonts w:ascii="Times New Roman" w:hAnsi="Times New Roman" w:cs="Times New Roman"/>
          <w:color w:val="000000"/>
          <w:sz w:val="24"/>
          <w:szCs w:val="24"/>
        </w:rPr>
        <w:pict>
          <v:shape id="_x0000_i1026"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Политика энергосбережения, целенаправленно проводимая в Республике Беларусь с 1993 года, предусматривает в качестве долгосрочной цели снижение энергоемкости валового внутреннего продукта (далее – ВВП) до среднемирового уровня и максимально возможное вовлечение в топливный баланс местных ТЭР.</w:t>
      </w:r>
      <w:r w:rsidR="00B67A41">
        <w:rPr>
          <w:rFonts w:ascii="Times New Roman" w:hAnsi="Times New Roman" w:cs="Times New Roman"/>
          <w:color w:val="000000"/>
          <w:sz w:val="24"/>
          <w:szCs w:val="24"/>
        </w:rPr>
        <w:pict>
          <v:shape id="_x0000_i1027"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данным Международного энергетического агентства, в 2013 году показатель энергоемкости ВВП Беларуси составил 0,19 тонны нефтяного эквивалента на 1 тыс. долларов США (по паритету покупательной способности и в ценах 2005 года), снизился по отношению к 2000 году (0,38 тонны нефтяного эквивалента на 1 тыс. долларов США) в 2 раза и достиг уровня аналогичного показателя развитых стран со схожими климатическими условиями – Канады и Финляндии.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энергоемкость ВВП в Республике Беларусь остается в 1,5 раза выше, чем в среднем в странах Организации экономического сотрудничества и развития, и в 1,2 раза выше мирового среднего уровня этого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2011–2014 годах ВВП вырос на 9,8 процента, при этом снижение энергоемкости ВВП составило 8,3 процента.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Валовое потребление ТЭР в республике в 2014 году практически не изменилось по отношению к уровню 2010 года, что свидетельствует об эффективности работы отраслей страны по экономии топлива и энергии.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такого результата стало возможным благодаря повсеместной реализации мероприятий по энергосбережению, введению жестких лимитов потребления ТЭР промышленными организациями, внедрению приборного учета, усилению материальной ответственности этих организаций за сверхлимитное потребление, стимулированию населения к экономии электрической энергии.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Ежегодная реализация в 2011–2015 годах региональных и отраслевых программ </w:t>
      </w:r>
      <w:r>
        <w:rPr>
          <w:rFonts w:ascii="Times New Roman" w:hAnsi="Times New Roman" w:cs="Times New Roman"/>
          <w:color w:val="000000"/>
          <w:sz w:val="24"/>
          <w:szCs w:val="24"/>
        </w:rPr>
        <w:lastRenderedPageBreak/>
        <w:t>энергосбережения позволила обеспечить:</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Белорусской энергетической системе устойчивую тенденцию к снижению удельного расхода условного топлива на отпуск электроэнергии с 268,9 г.у.т./кВт·ч в 2010 году до 235,5 г.у.т./кВт·ч в 2015 году за счет ввода в эксплуатацию высокоэффективного энергетического оборудования и наращивания комбинированного производства электрической и тепловой энергии, являющегося одним из наиболее эффективных направлений использования топлива;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системе жилищно-коммунального хозяйства уменьшение расхода тепловой энергии на ее транспорт в теплосетях с 18,7 процента в 2010 году до 15,4 процента в 2014 году и снижение величины удельного расхода условного топлива на отпуск тепловой энергии на энергоисточниках, работающих с использованием природного газа, на величину около 0,5 кг.у.т./Гкал ежегодно путем реализации энергосберегающих мероприятий по замене изношенных участков теплопроводов, применения ПИ-труб, оптимизации схем теплоснабжения.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Введенные в эксплуатацию в непосредственной близости от потребителя объекты малой энергетики обеспечивают выработку электрической энергии с удельным расходом условного топлива, как правило, не превышающим 160–180 г.у.т./кВт·ч, что также способствует снижению расхода электроэнергии на ее транспорт в электрических сетях Белорусской энергетической системы с 11,19 процента в 2010 году до 9,01 процента в 2015 году.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созданы предпосылки для наращивания производства промышленной продукции без значительного роста потребления ТЭР. Ежегодно уровень норм расхода ТЭР в промышленных энергопотребляющих организациях, характеризующихся энергоемкими производственными технологиями, снижается к их уровню предшествующего года не менее чем на 3 процента.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целом по республике экономия ТЭР в результате реализации энергосберегающих мероприятий в 2011–2015 годах составила 7,79 млн. т.у.т. при задании 7,10–8,85 млн. т.у.т.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котельно-печном топливе (далее – КПТ) увеличилась с 20,7 процента в 2010 году до 29,5 процента в 2015 году.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т.у.т.). Доля электроэнергии, выработанной на гидро-, ветро- и солнечных электростанциях, составляла в 2010 году 0,1 процента от объема производства электрической энергии, в 2014 году – 0,7 процента.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реализации мероприятий по внедрению энергоисточников на местных видах топлива, биогазе, строительству гидроэлектростанций в Республике Беларусь введены в эксплуатацию:</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104 энергоисточника на местных видах топлива суммарной установленной электрической мощностью 13,5 МВт и тепловой – 500,1 МВт, в том числе 7 мини-ТЭЦ на местных видах топлива суммарной установленной электрической мощностью 13,5 МВт и тепловой – 48,3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биогазовых комплексов суммарной установленной электрической мощностью 19 </w:t>
      </w:r>
      <w:r>
        <w:rPr>
          <w:rFonts w:ascii="Times New Roman" w:hAnsi="Times New Roman" w:cs="Times New Roman"/>
          <w:color w:val="000000"/>
          <w:sz w:val="24"/>
          <w:szCs w:val="24"/>
        </w:rPr>
        <w:lastRenderedPageBreak/>
        <w:t>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гидроэлектростанций суммарной установленной мощностью около 19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ветроэнергетических установок суммарной установленной мощностью более 25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реализации </w:t>
      </w:r>
      <w:hyperlink r:id="rId8" w:anchor="Заг_Утв_1" w:history="1">
        <w:r>
          <w:rPr>
            <w:rFonts w:ascii="Times New Roman" w:hAnsi="Times New Roman" w:cs="Times New Roman"/>
            <w:color w:val="0000FF"/>
            <w:sz w:val="24"/>
            <w:szCs w:val="24"/>
          </w:rPr>
          <w:t>Республиканской программы</w:t>
        </w:r>
      </w:hyperlink>
      <w:r>
        <w:rPr>
          <w:rFonts w:ascii="Times New Roman" w:hAnsi="Times New Roman" w:cs="Times New Roman"/>
          <w:color w:val="000000"/>
          <w:sz w:val="24"/>
          <w:szCs w:val="24"/>
        </w:rPr>
        <w:t xml:space="preserve"> энергосбережения на 2011–2015 годы, утвержденной постановлением Совета Министров Республики Беларусь от 24 декабря 2010 г. № 1882 (Национальный реестр правовых актов Республики Беларусь, 2011 г., № 1, 5/33067), проводилась активная работа по пропаганде рационального использования ТЭР, в том числе путем: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республиканских акций «Энергоэффективность – в действии», «Минус 60 ватт в каждой квартире»;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республиканских конкурсов в области энергосбережения, в том числе республиканского конкурса школьных проектов по экономии и бережливости «Энергомарафон», международного конкурса энергоэффективных и ресурсосберегающих технологий и оборудования;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издания ежемесячного специализированного научно-практического журнала «Энергоэффективность», учебно-методической литературы, плакатов и другой наглядной агитации по энергосбережению;</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семинаров, конференций, круглых столов по наиболее актуальным темам и направлениям;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участия и представления на специализированных форумах и выставках результатов работы в области энергосбережения;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создания социальной рекламы, научно-популярных и информационно-пропагандистских фильмов об энергосбережении.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программой развития системы технического нормирования, стандартизации и подтверждения соответствия в области энергосбережения на 2011–2015 годы разработано свыше 100 государственных и межгосударственных стандартов, из них более 90 процентов соответствуют международным и европейским требованиям.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реализации проекта помощи Европейского союза «Поддержка Республики Беларусь в области норм и стандартов в сфере энергоэффективности потребительских товаров и промышленной продукции» разрабатываются на основе регламентов и директив Европейского союза 48 государственных стандартов Республики Беларусь, в которых устанавливаются требования к энергоэффективности продукции, ее маркировке, методам испытаний.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активизации работ по данному направлению в 2014 году сформирован Национальный комитет по стандартизации.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Государственной программы «Энергосбережение» на 2016–2020 годы (далее – Государственная программа) позволит обеспечить в 2016–2020 годах взаимоувязанную деятельность по энергосбережению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(далее – республиканские органы государственного управления).</w:t>
      </w:r>
      <w:r w:rsidR="00B67A41">
        <w:rPr>
          <w:rFonts w:ascii="Times New Roman" w:hAnsi="Times New Roman" w:cs="Times New Roman"/>
          <w:color w:val="000000"/>
          <w:sz w:val="24"/>
          <w:szCs w:val="24"/>
        </w:rPr>
        <w:pict>
          <v:shape id="_x0000_i1028"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целях решения поставленных задач разработаны подпрограмма 1 «Повышение энергоэффективности» и подпрограмма 2 «Развитие использования местных топливно-энергетических ресурсов, в том числе возобновляемых источников энергии».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конкретных мероприятий Государственной программы и ее подпрограмм осуществляется ежегодно в рамках общего комплекса энергосберегающих мероприятий (планов деятельности заказчиков на соответствующий финансовый год по выполнению целевых показателей и перечня основных мероприятий в сфере энергосбережения, направленных на осуществление соответствующей деятельности в рамках международного сотрудничества и привлечения инвестиций, совершенствования информационного обеспечения и пропаганды энергосбережения, а также на реализацию наиболее актуальных социально ориентированных проектов (далее – перечень основных мероприятий в сфере энергосбережения).</w:t>
      </w:r>
      <w:r w:rsidR="00B67A41">
        <w:rPr>
          <w:rFonts w:ascii="Times New Roman" w:hAnsi="Times New Roman" w:cs="Times New Roman"/>
          <w:color w:val="000000"/>
          <w:sz w:val="24"/>
          <w:szCs w:val="24"/>
        </w:rPr>
        <w:pict>
          <v:shape id="_x0000_i1029" type="#_x0000_t75" style="width:7.5pt;height:7.5pt">
            <v:imagedata r:id="rId7" o:title=""/>
          </v:shape>
        </w:pic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 w:name="CA0_ГСП__1_РЗ_I_1_ГЛ_2_2CN__chapter_2"/>
      <w:bookmarkEnd w:id="4"/>
      <w:r>
        <w:rPr>
          <w:rFonts w:ascii="Times New Roman" w:hAnsi="Times New Roman" w:cs="Times New Roman"/>
          <w:b/>
          <w:color w:val="000000"/>
          <w:sz w:val="24"/>
          <w:szCs w:val="24"/>
        </w:rPr>
        <w:t>ГЛАВА 2</w:t>
      </w:r>
      <w:r>
        <w:rPr>
          <w:rFonts w:ascii="Times New Roman" w:hAnsi="Times New Roman" w:cs="Times New Roman"/>
          <w:b/>
          <w:color w:val="000000"/>
          <w:sz w:val="24"/>
          <w:szCs w:val="24"/>
        </w:rPr>
        <w:br/>
        <w:t>ЦЕЛИ И ЗАДАЧИ ГОСУДАРСТВЕННОЙ ПРОГРАММЫ И ЕЕ ПОДПРОГРАММ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Стратегическими целями деятельности в области энергосбережения на период до 2021 года являются: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сдерживание роста валового потребления ТЭР при экономическом развитии страны;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дальнейшее увеличение использования местных ТЭР, в том числе ВИЭ.</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достижения данных целей необходимо решить следующие задачи: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подпрограммы 1 «Повышение энергоэффективности» обеспечить объем экономии ТЭР в результате реализации энергосберегающих мероприятий;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подпрограммы 2 «Развитие использования местных топливно-энергетических ресурсов, в том числе возобновляемых источников энергии» увеличить долю местных ТЭР, в том числе из ВИЭ, в валовом потреблении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Сводными целевыми показателями Государственной программы являются: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энергоемкости ВВП к 2021 году не менее чем на 2 процента к уровню 2015 года;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2021 году отношения объема производства (добычи) первичной энергии к валовому потреблению ТЭР (далее – доля местных ТЭР в валовом потреблении ТЭР) не менее 16 процентов.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Подпрограммами предусматриваются следующие целевые показатели в целом по республике: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экономии ТЭР в 2016–2020 годах – 5 млн. т.у.т.;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валовом потреблении ТЭР в 2020 году – 16 процентов, в том числе доля ВИЭ в валовом потреблении ТЭР – 6 процентов.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сводных целевых показателей Государственной программы определены с учетом планируемых объемов и структуры ВВП, объемов импорта электрической энергии, ввода в эксплуатацию Белорусской атомной электростанции, строительства жилья и других аспектов экономического развития страны.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Значения сводных целевых показателей Государственной программы, целевых показателей подпрограмм по годам, другие макроэкономические и энергетические </w:t>
      </w:r>
      <w:r>
        <w:rPr>
          <w:rFonts w:ascii="Times New Roman" w:hAnsi="Times New Roman" w:cs="Times New Roman"/>
          <w:color w:val="000000"/>
          <w:sz w:val="24"/>
          <w:szCs w:val="24"/>
        </w:rPr>
        <w:lastRenderedPageBreak/>
        <w:t>показатели представлены в таблице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5" w:name="CA0_ГСП__1_РЗ_I_1_ГЛ_2_2_ТБЛ_1_1"/>
      <w:bookmarkEnd w:id="5"/>
      <w:r>
        <w:rPr>
          <w:rFonts w:ascii="Times New Roman" w:hAnsi="Times New Roman" w:cs="Times New Roman"/>
          <w:color w:val="000000"/>
          <w:sz w:val="24"/>
          <w:szCs w:val="24"/>
        </w:rPr>
        <w:t>Таблица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12"/>
        <w:gridCol w:w="850"/>
        <w:gridCol w:w="851"/>
        <w:gridCol w:w="851"/>
        <w:gridCol w:w="851"/>
        <w:gridCol w:w="1040"/>
      </w:tblGrid>
      <w:tr w:rsidR="00167A62">
        <w:trPr>
          <w:trHeight w:val="240"/>
        </w:trPr>
        <w:tc>
          <w:tcPr>
            <w:tcW w:w="2600" w:type="pct"/>
            <w:vMerge w:val="restar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2350" w:type="pct"/>
            <w:gridSpan w:val="5"/>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Значение показателя по годам</w:t>
            </w:r>
          </w:p>
        </w:tc>
      </w:tr>
      <w:tr w:rsidR="00167A62">
        <w:trPr>
          <w:trHeight w:val="240"/>
        </w:trPr>
        <w:tc>
          <w:tcPr>
            <w:tcW w:w="1170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450" w:type="pct"/>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167A62">
        <w:trPr>
          <w:trHeight w:val="240"/>
        </w:trPr>
        <w:tc>
          <w:tcPr>
            <w:tcW w:w="26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энергоемкости ВВП, процентов*</w:t>
            </w:r>
          </w:p>
        </w:tc>
        <w:tc>
          <w:tcPr>
            <w:tcW w:w="4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4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4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c>
          <w:tcPr>
            <w:tcW w:w="4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4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bl>
    <w:p w:rsidR="00167A62" w:rsidRDefault="00B67A4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0" type="#_x0000_t75" style="width:7.5pt;height:7.5pt">
            <v:imagedata r:id="rId7" o:title=""/>
          </v:shape>
        </w:pict>
      </w:r>
    </w:p>
    <w:p w:rsidR="00167A62" w:rsidRDefault="00167A62">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5015"/>
        <w:gridCol w:w="868"/>
        <w:gridCol w:w="868"/>
        <w:gridCol w:w="868"/>
        <w:gridCol w:w="868"/>
        <w:gridCol w:w="868"/>
      </w:tblGrid>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Экономия ТЭР за счет реализации мероприятий по энергосбережению, тыс. т.у.т.</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валовом потреблении ТЭР, процентов</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ВИЭ в валовом потреблении ТЭР, процентов</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167A62">
        <w:trPr>
          <w:trHeight w:val="240"/>
        </w:trPr>
        <w:tc>
          <w:tcPr>
            <w:tcW w:w="26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Валовое потребление ТЭР**, млн. т.у.т.</w:t>
            </w:r>
          </w:p>
        </w:tc>
        <w:tc>
          <w:tcPr>
            <w:tcW w:w="4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4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w:t>
            </w:r>
          </w:p>
        </w:tc>
        <w:tc>
          <w:tcPr>
            <w:tcW w:w="4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37,7</w:t>
            </w:r>
          </w:p>
        </w:tc>
        <w:tc>
          <w:tcPr>
            <w:tcW w:w="4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w:t>
            </w:r>
          </w:p>
        </w:tc>
        <w:tc>
          <w:tcPr>
            <w:tcW w:w="4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При темпах роста ВВП в размере 100,3 процента в 2016 году, 101,7 процента в 2017 году, 102,7 процента в 2018 году, 103,2 процента в 2019 году, 104 процента в 2020 году.</w:t>
      </w:r>
      <w:r w:rsidR="00B67A41">
        <w:rPr>
          <w:rFonts w:ascii="Times New Roman" w:hAnsi="Times New Roman" w:cs="Times New Roman"/>
          <w:color w:val="000000"/>
          <w:sz w:val="24"/>
          <w:szCs w:val="24"/>
        </w:rPr>
        <w:pict>
          <v:shape id="_x0000_i1031" type="#_x0000_t75" style="width:7.5pt;height:7.5pt">
            <v:imagedata r:id="rId7" o:title=""/>
          </v:shape>
        </w:pic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Оценочно.</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достижения сводных целевых показателей республиканским органам государственного управления устанавливаются целевые показатели (показатели энергосбережения, показатели по экономии светлых нефтепродуктов, по доле местных ТЭР в КПТ, в том числе по доле ВИЭ в КПТ) на 2016 год и последующие годы прогнозируемого периода.</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6" w:name="CA0_ГСП__1_РЗ_I_1_ГЛ_3_3CN__chapter_3"/>
      <w:bookmarkEnd w:id="6"/>
      <w:r>
        <w:rPr>
          <w:rFonts w:ascii="Times New Roman" w:hAnsi="Times New Roman" w:cs="Times New Roman"/>
          <w:b/>
          <w:color w:val="000000"/>
          <w:sz w:val="24"/>
          <w:szCs w:val="24"/>
        </w:rPr>
        <w:t>ГЛАВА 3</w:t>
      </w:r>
      <w:r>
        <w:rPr>
          <w:rFonts w:ascii="Times New Roman" w:hAnsi="Times New Roman" w:cs="Times New Roman"/>
          <w:b/>
          <w:color w:val="000000"/>
          <w:sz w:val="24"/>
          <w:szCs w:val="24"/>
        </w:rPr>
        <w:br/>
        <w:t>ФИНАНСОВОЕ ОБЕСПЕЧЕНИЕ РЕАЛИЗАЦИИ ГОСУДАРСТВЕННОЙ ПРОГРАММЫ И ЕЕ ПОДПРОГРАММ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Ресурсное обеспечение общего комплекса энергосберегающих мероприятий на 2016–2020 годы согласно </w:t>
      </w:r>
      <w:hyperlink r:id="rId9"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базируется на объемах необходимой для выполнения установленных заданий экономии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расчете ресурсного обеспечения учитываются средний срок окупаемости энергосберегающих мероприятий, сложившийся по результатам выполнения Государственной программы за предыдущий период, и расчетная удельная стоимость для республики покупки всего объема ТЭР, выраженного в тоннах условного топлива. Стоимость 1 т.у.т. рассчитана исходя из сложившегося в республике за год, </w:t>
      </w:r>
      <w:r>
        <w:rPr>
          <w:rFonts w:ascii="Times New Roman" w:hAnsi="Times New Roman" w:cs="Times New Roman"/>
          <w:color w:val="000000"/>
          <w:sz w:val="24"/>
          <w:szCs w:val="24"/>
        </w:rPr>
        <w:lastRenderedPageBreak/>
        <w:t>предшествующий расчетному, баланса КПТ с учетом стоимости видов топлива, участвующих в балансе.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Источниками финансирования общего комплекса энергосберегающих мероприятий являются средства республиканского бюджета (в том числе предусматриваемые на финансирование Государственной программы) и (или) местных бюджетов,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источники (в том числе средства международных финансовых организаций, гранты, иностранные инвестиции, частное и венчурное финансирование).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Необходимое ресурсное обеспечение реализации общего комплекса энергосберегающих мероприятий Государственной программы в 2016–2020 годах, указанное в </w:t>
      </w:r>
      <w:hyperlink r:id="rId10" w:anchor="Прил_1_Утв_1"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xml:space="preserve"> к Государственной программе, составляет 11 064,26 млн. рублей, в том числе средства бюджета – 2046,77 млн. рублей.</w:t>
      </w:r>
      <w:r w:rsidR="00B67A41">
        <w:rPr>
          <w:rFonts w:ascii="Times New Roman" w:hAnsi="Times New Roman" w:cs="Times New Roman"/>
          <w:color w:val="000000"/>
          <w:sz w:val="24"/>
          <w:szCs w:val="24"/>
        </w:rPr>
        <w:pict>
          <v:shape id="_x0000_i1032"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тем, что реализация Государственной программы направлена на осуществление взаимоувязанной деятельности по энергосбережению республиканских органов государственного управления, общий комплекс энергосберегающих мероприятий выполняется в рамках финансового обеспечения Государственной программы согласно </w:t>
      </w:r>
      <w:hyperlink r:id="rId11" w:anchor="Прил_2_Утв_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государственных программ в соответствующих сферах деятельности и в рамках осуществления основной деятельности организаций, финансируемых из бюджета.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финансового обеспечения конкретных мероприятий, реализация которых направлена на выполнение задач Государственной программы и ее подпрограмм, определяются при разработке планов деятельности заказчиков на соответствующий финансовый год по выполнению целевых показателей и перечня основных мероприятий в сфере энергосбережения.</w:t>
      </w:r>
      <w:r w:rsidR="00B67A41">
        <w:rPr>
          <w:rFonts w:ascii="Times New Roman" w:hAnsi="Times New Roman" w:cs="Times New Roman"/>
          <w:color w:val="000000"/>
          <w:sz w:val="24"/>
          <w:szCs w:val="24"/>
        </w:rPr>
        <w:pict>
          <v:shape id="_x0000_i1033"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Предназначенные для финансирования средства республиканского бюджета могут направляться на реализацию энергоэффективных мероприятий организациям республиканской и коммунальной форм собственности на возвратной и безвозвратной основе в порядке, установленном Государственным комитетом по стандартизации (далее – Госстандарт). При рассмотрении вопросов выделения средств республиканского бюджета для реализации энергоэффективных мероприятий предпочтение отдается наиболее эффективным и быстроокупаемым мероприятиям.</w:t>
      </w:r>
      <w:r w:rsidR="00B67A41">
        <w:rPr>
          <w:rFonts w:ascii="Times New Roman" w:hAnsi="Times New Roman" w:cs="Times New Roman"/>
          <w:color w:val="000000"/>
          <w:sz w:val="24"/>
          <w:szCs w:val="24"/>
        </w:rPr>
        <w:pict>
          <v:shape id="_x0000_i1034"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возвратной основе средства республиканского бюджета, предназначенные для финансирования мероприятий по энергосбережению, выделяются, как правило, негосударственным организациям, если отдельными решениями заказчиков по согласованию с Госстандартом не установлено иное, а также другим организациям (за исключением бюджетных) для реализации высокоэффективных, быстроокупаемых проектов. Условия, сроки, порядок возврата и ответственность сторон определяются в договорах, заключенных заказчиками с исполнителями мероприятий.</w:t>
      </w:r>
      <w:r w:rsidR="00B67A41">
        <w:rPr>
          <w:rFonts w:ascii="Times New Roman" w:hAnsi="Times New Roman" w:cs="Times New Roman"/>
          <w:color w:val="000000"/>
          <w:sz w:val="24"/>
          <w:szCs w:val="24"/>
        </w:rPr>
        <w:pict>
          <v:shape id="_x0000_i1035"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Организациями, которым бюджетные средства выданы на возвратной основе, возврат этих средств осуществляется через территориальные органы казначейства в республиканский бюджет. В течение финансового года возвращенные средства зачисляются на отдельный параграф функциональной классификации расходов бюджета и </w:t>
      </w:r>
      <w:r>
        <w:rPr>
          <w:rFonts w:ascii="Times New Roman" w:hAnsi="Times New Roman" w:cs="Times New Roman"/>
          <w:color w:val="000000"/>
          <w:sz w:val="24"/>
          <w:szCs w:val="24"/>
        </w:rPr>
        <w:lastRenderedPageBreak/>
        <w:t>по мере их накопления распределяются и используются на финансирование энергоэффективных мероприятий.</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7" w:name="CA0_ГСП__1_РЗ_I_1_ГЛ_4_4CN__chapter_4"/>
      <w:bookmarkEnd w:id="7"/>
      <w:r>
        <w:rPr>
          <w:rFonts w:ascii="Times New Roman" w:hAnsi="Times New Roman" w:cs="Times New Roman"/>
          <w:b/>
          <w:color w:val="000000"/>
          <w:sz w:val="24"/>
          <w:szCs w:val="24"/>
        </w:rPr>
        <w:t>ГЛАВА 4</w:t>
      </w:r>
      <w:r>
        <w:rPr>
          <w:rFonts w:ascii="Times New Roman" w:hAnsi="Times New Roman" w:cs="Times New Roman"/>
          <w:b/>
          <w:color w:val="000000"/>
          <w:sz w:val="24"/>
          <w:szCs w:val="24"/>
        </w:rPr>
        <w:br/>
        <w:t>АНАЛИЗ ОСНОВНЫХ РИСКОВ ПРИ РЕАЛИЗАЦИИ ГОСУДАРСТВЕННОЙ ПРОГРАММЫ И ЕЕ ПОДПРОГРАММ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реализации Государственной программы и ее подпрограмм возможно возникновение рисков, обусловленных: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наличием фактов нерационального использования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несвоевременным привлечением и (или) использованием финансовых средств;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невыполнением запланированных мероприятий.</w:t>
      </w:r>
      <w:r w:rsidR="00B67A41">
        <w:rPr>
          <w:rFonts w:ascii="Times New Roman" w:hAnsi="Times New Roman" w:cs="Times New Roman"/>
          <w:color w:val="000000"/>
          <w:sz w:val="24"/>
          <w:szCs w:val="24"/>
        </w:rPr>
        <w:pict>
          <v:shape id="_x0000_i1036"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влияние на результаты выполнения Государственной программы могут оказать и другие риски, связанные с изменением: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 (тарифов) на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параметров социально-экономического развития Республики Беларусь;</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темпов роста производства продукции (работ, услуг) в различных секторах экономики;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производства.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мерами по управлению рисками и их минимизации являются мониторинг и контроль за реализацией мероприятий, осуществляемые заказчиками Государственной программы на постоянной основе. В целях минимизации вероятности проявления рисков результаты выполнения планов деятельности заказчиков на соответствующий финансовый год по выполнению целевых показателей в установленном законодательством порядке ежеквартально рассматриваются в Департаменте по энергоэффективности Госстандарта.</w:t>
      </w:r>
      <w:r w:rsidR="00B67A41">
        <w:rPr>
          <w:rFonts w:ascii="Times New Roman" w:hAnsi="Times New Roman" w:cs="Times New Roman"/>
          <w:color w:val="000000"/>
          <w:sz w:val="24"/>
          <w:szCs w:val="24"/>
        </w:rPr>
        <w:pict>
          <v:shape id="_x0000_i1037"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при формировании годового отчета по выполнению мероприятий Государственной программы проводится оценка ее эффективности, по результатам которой вырабатываются при необходимости компенсационные и иные меры реагирования.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мер по минимизации негативного влияния рисков, возникающих вследствие изменения экономических и финансовых условий, после проведения оценки эффективности реализации Государственной программы предусматривается возможность внесения в нее в установленном порядке соответствующих изменений.</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8" w:name="CA0_ГСП__1_РЗ_I_1_ГЛ_5_5CN__chapter_5"/>
      <w:bookmarkEnd w:id="8"/>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ОЦЕНКА ЭФФЕКТИВНОСТИ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эффективности Государственной программы основывается на оценке результатов Государственной программы по достижению планируемого вклада в социально-экономическое развитие и обеспечение национальной безопасности и осуществляется ответственным заказчиком ежегодно при формировании годового отчета о ходе выполнения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эффективности Государственной программы производится путем сравнения фактически достигнутых (по официальной статистической информации) значений сводных целевых и целевых показателей, указанных в таблице 2, характеризующих задачи Государственной программы, с их утвержденными значениями. При этом учитывается степень соответствия фактически освоенных объемов финансирования их запланированному уровню.</w:t>
      </w:r>
      <w:r w:rsidR="00B67A41">
        <w:rPr>
          <w:rFonts w:ascii="Times New Roman" w:hAnsi="Times New Roman" w:cs="Times New Roman"/>
          <w:color w:val="000000"/>
          <w:sz w:val="24"/>
          <w:szCs w:val="24"/>
        </w:rPr>
        <w:pict>
          <v:shape id="_x0000_i1038"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9" w:name="CA0_ГСП__1_РЗ_I_1_ГЛ_5_5_ТБЛ_2_2"/>
      <w:bookmarkEnd w:id="9"/>
      <w:r>
        <w:rPr>
          <w:rFonts w:ascii="Times New Roman" w:hAnsi="Times New Roman" w:cs="Times New Roman"/>
          <w:color w:val="000000"/>
          <w:sz w:val="24"/>
          <w:szCs w:val="24"/>
        </w:rPr>
        <w:t>Таблица 2</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291"/>
        <w:gridCol w:w="1796"/>
        <w:gridCol w:w="2268"/>
      </w:tblGrid>
      <w:tr w:rsidR="00167A62">
        <w:trPr>
          <w:trHeight w:val="240"/>
        </w:trPr>
        <w:tc>
          <w:tcPr>
            <w:tcW w:w="2800" w:type="pc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950" w:type="pc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w:t>
            </w:r>
          </w:p>
        </w:tc>
        <w:tc>
          <w:tcPr>
            <w:tcW w:w="1200" w:type="pct"/>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Обозначение</w:t>
            </w:r>
          </w:p>
        </w:tc>
      </w:tr>
      <w:tr w:rsidR="00167A62">
        <w:trPr>
          <w:trHeight w:val="240"/>
        </w:trPr>
        <w:tc>
          <w:tcPr>
            <w:tcW w:w="28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Снижение энергоемкости ВВП </w:t>
            </w:r>
          </w:p>
        </w:tc>
        <w:tc>
          <w:tcPr>
            <w:tcW w:w="9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12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ЭЕ</w:t>
            </w:r>
            <w:r>
              <w:rPr>
                <w:rFonts w:ascii="Times New Roman" w:hAnsi="Times New Roman" w:cs="Times New Roman"/>
                <w:color w:val="000000"/>
                <w:sz w:val="24"/>
                <w:szCs w:val="24"/>
                <w:vertAlign w:val="subscript"/>
              </w:rPr>
              <w:t>ввп</w:t>
            </w:r>
          </w:p>
        </w:tc>
      </w:tr>
      <w:tr w:rsidR="00167A62">
        <w:trPr>
          <w:trHeight w:val="240"/>
        </w:trPr>
        <w:tc>
          <w:tcPr>
            <w:tcW w:w="28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Годовая экономия ТЭР за счет реализации мероприятий по энергосбережению</w:t>
            </w:r>
          </w:p>
        </w:tc>
        <w:tc>
          <w:tcPr>
            <w:tcW w:w="9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т.у.т.</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Э</w:t>
            </w:r>
            <w:r>
              <w:rPr>
                <w:rFonts w:ascii="Times New Roman" w:hAnsi="Times New Roman" w:cs="Times New Roman"/>
                <w:color w:val="000000"/>
                <w:sz w:val="24"/>
                <w:szCs w:val="24"/>
                <w:vertAlign w:val="subscript"/>
              </w:rPr>
              <w:t>тэр</w:t>
            </w:r>
          </w:p>
        </w:tc>
      </w:tr>
      <w:tr w:rsidR="00167A62">
        <w:trPr>
          <w:trHeight w:val="240"/>
        </w:trPr>
        <w:tc>
          <w:tcPr>
            <w:tcW w:w="28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валовом потреблении ТЭР</w:t>
            </w:r>
          </w:p>
        </w:tc>
        <w:tc>
          <w:tcPr>
            <w:tcW w:w="9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Д</w:t>
            </w:r>
            <w:r>
              <w:rPr>
                <w:rFonts w:ascii="Times New Roman" w:hAnsi="Times New Roman" w:cs="Times New Roman"/>
                <w:color w:val="000000"/>
                <w:sz w:val="24"/>
                <w:szCs w:val="24"/>
                <w:vertAlign w:val="subscript"/>
              </w:rPr>
              <w:t>мтэр</w:t>
            </w:r>
          </w:p>
        </w:tc>
      </w:tr>
      <w:tr w:rsidR="00167A62">
        <w:trPr>
          <w:trHeight w:val="240"/>
        </w:trPr>
        <w:tc>
          <w:tcPr>
            <w:tcW w:w="28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ВИЭ в валовом потреблении ТЭР</w:t>
            </w:r>
          </w:p>
        </w:tc>
        <w:tc>
          <w:tcPr>
            <w:tcW w:w="95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Д</w:t>
            </w:r>
            <w:r>
              <w:rPr>
                <w:rFonts w:ascii="Times New Roman" w:hAnsi="Times New Roman" w:cs="Times New Roman"/>
                <w:color w:val="000000"/>
                <w:sz w:val="24"/>
                <w:szCs w:val="24"/>
                <w:vertAlign w:val="subscript"/>
              </w:rPr>
              <w:t>виэ</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Утвержденные (плановые) значения показателей указаны в таблице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оценки степени достижения цели Государственной программы и решения задач подпрограмм определяется степень достижения планового значения каждым сводным целевым и целевым показателем.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достижения планового значения сводного целевого показателя (целевого показателя), желаемой тенденцией которого является увеличение значения (ЭЕ</w:t>
      </w:r>
      <w:r>
        <w:rPr>
          <w:rFonts w:ascii="Times New Roman" w:hAnsi="Times New Roman" w:cs="Times New Roman"/>
          <w:color w:val="000000"/>
          <w:sz w:val="24"/>
          <w:szCs w:val="24"/>
          <w:vertAlign w:val="subscript"/>
        </w:rPr>
        <w:t>ввп</w:t>
      </w:r>
      <w:r>
        <w:rPr>
          <w:rFonts w:ascii="Times New Roman" w:hAnsi="Times New Roman" w:cs="Times New Roman"/>
          <w:color w:val="000000"/>
          <w:sz w:val="24"/>
          <w:szCs w:val="24"/>
        </w:rPr>
        <w:t>, Э</w:t>
      </w:r>
      <w:r>
        <w:rPr>
          <w:rFonts w:ascii="Times New Roman" w:hAnsi="Times New Roman" w:cs="Times New Roman"/>
          <w:color w:val="000000"/>
          <w:sz w:val="24"/>
          <w:szCs w:val="24"/>
          <w:vertAlign w:val="subscript"/>
        </w:rPr>
        <w:t>тэр</w:t>
      </w:r>
      <w:r>
        <w:rPr>
          <w:rFonts w:ascii="Times New Roman" w:hAnsi="Times New Roman" w:cs="Times New Roman"/>
          <w:color w:val="000000"/>
          <w:sz w:val="24"/>
          <w:szCs w:val="24"/>
        </w:rPr>
        <w:t>, Д</w:t>
      </w:r>
      <w:r>
        <w:rPr>
          <w:rFonts w:ascii="Times New Roman" w:hAnsi="Times New Roman" w:cs="Times New Roman"/>
          <w:color w:val="000000"/>
          <w:sz w:val="24"/>
          <w:szCs w:val="24"/>
          <w:vertAlign w:val="subscript"/>
        </w:rPr>
        <w:t>мтэр</w:t>
      </w:r>
      <w:r>
        <w:rPr>
          <w:rFonts w:ascii="Times New Roman" w:hAnsi="Times New Roman" w:cs="Times New Roman"/>
          <w:color w:val="000000"/>
          <w:sz w:val="24"/>
          <w:szCs w:val="24"/>
        </w:rPr>
        <w:t>, Д</w:t>
      </w:r>
      <w:r>
        <w:rPr>
          <w:rFonts w:ascii="Times New Roman" w:hAnsi="Times New Roman" w:cs="Times New Roman"/>
          <w:color w:val="000000"/>
          <w:sz w:val="24"/>
          <w:szCs w:val="24"/>
          <w:vertAlign w:val="subscript"/>
        </w:rPr>
        <w:t>виэ</w:t>
      </w:r>
      <w:r>
        <w:rPr>
          <w:rFonts w:ascii="Times New Roman" w:hAnsi="Times New Roman" w:cs="Times New Roman"/>
          <w:color w:val="000000"/>
          <w:sz w:val="24"/>
          <w:szCs w:val="24"/>
        </w:rPr>
        <w:t>), рассчитывается по формуле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СД</w:t>
      </w:r>
      <w:r>
        <w:rPr>
          <w:rFonts w:ascii="Times New Roman" w:hAnsi="Times New Roman" w:cs="Times New Roman"/>
          <w:color w:val="000000"/>
          <w:sz w:val="24"/>
          <w:szCs w:val="24"/>
          <w:vertAlign w:val="subscript"/>
        </w:rPr>
        <w:t>пз</w:t>
      </w:r>
      <w:r>
        <w:rPr>
          <w:rFonts w:ascii="Times New Roman" w:hAnsi="Times New Roman" w:cs="Times New Roman"/>
          <w:color w:val="000000"/>
          <w:sz w:val="24"/>
          <w:szCs w:val="24"/>
        </w:rPr>
        <w:t xml:space="preserve"> = ЗП</w:t>
      </w:r>
      <w:r>
        <w:rPr>
          <w:rFonts w:ascii="Times New Roman" w:hAnsi="Times New Roman" w:cs="Times New Roman"/>
          <w:color w:val="000000"/>
          <w:sz w:val="24"/>
          <w:szCs w:val="24"/>
          <w:vertAlign w:val="subscript"/>
        </w:rPr>
        <w:t>пф</w:t>
      </w:r>
      <w:r>
        <w:rPr>
          <w:rFonts w:ascii="Times New Roman" w:hAnsi="Times New Roman" w:cs="Times New Roman"/>
          <w:color w:val="000000"/>
          <w:sz w:val="24"/>
          <w:szCs w:val="24"/>
        </w:rPr>
        <w:t xml:space="preserve"> / ЗП</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СД</w:t>
      </w:r>
      <w:r>
        <w:rPr>
          <w:rFonts w:ascii="Times New Roman" w:hAnsi="Times New Roman" w:cs="Times New Roman"/>
          <w:color w:val="000000"/>
          <w:sz w:val="24"/>
          <w:szCs w:val="24"/>
          <w:vertAlign w:val="subscript"/>
        </w:rPr>
        <w:t>пз</w:t>
      </w:r>
      <w:r>
        <w:rPr>
          <w:rFonts w:ascii="Times New Roman" w:hAnsi="Times New Roman" w:cs="Times New Roman"/>
          <w:color w:val="000000"/>
          <w:sz w:val="24"/>
          <w:szCs w:val="24"/>
        </w:rPr>
        <w:t xml:space="preserve"> – степень достижения планового значения сводного целевого показателя (целевого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ЗП</w:t>
      </w:r>
      <w:r>
        <w:rPr>
          <w:rFonts w:ascii="Times New Roman" w:hAnsi="Times New Roman" w:cs="Times New Roman"/>
          <w:color w:val="000000"/>
          <w:sz w:val="24"/>
          <w:szCs w:val="24"/>
          <w:vertAlign w:val="subscript"/>
        </w:rPr>
        <w:t>пф</w:t>
      </w:r>
      <w:r>
        <w:rPr>
          <w:rFonts w:ascii="Times New Roman" w:hAnsi="Times New Roman" w:cs="Times New Roman"/>
          <w:color w:val="000000"/>
          <w:sz w:val="24"/>
          <w:szCs w:val="24"/>
        </w:rPr>
        <w:t xml:space="preserve"> – фактически достигнутое на конец отчетного периода значение сводного целевого показателя (целевого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ЗП</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 плановое значение сводного целевого показателя (целевого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достижения цели Государственной программы и решения задач подпрограмм рассчитывается по формуле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B67A4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9" type="#_x0000_t75" style="width:90.75pt;height:33.75pt">
            <v:imagedata r:id="rId12"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CP – степень решения задач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 – количество сводных целевых и целевых показателей.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значение СР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больше 1, то при расчете эффективности реализации Государственной программы оно принимается равным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реализации Государственной программы оценивается по формуле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B67A4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40" type="#_x0000_t75" style="width:75pt;height:33.75pt">
            <v:imagedata r:id="rId13"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ЭР – эффективность реализации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Pr>
          <w:rFonts w:ascii="Times New Roman" w:hAnsi="Times New Roman" w:cs="Times New Roman"/>
          <w:color w:val="000000"/>
          <w:sz w:val="24"/>
          <w:szCs w:val="24"/>
          <w:vertAlign w:val="subscript"/>
        </w:rPr>
        <w:t>ф</w:t>
      </w:r>
      <w:r>
        <w:rPr>
          <w:rFonts w:ascii="Times New Roman" w:hAnsi="Times New Roman" w:cs="Times New Roman"/>
          <w:color w:val="000000"/>
          <w:sz w:val="24"/>
          <w:szCs w:val="24"/>
        </w:rPr>
        <w:t xml:space="preserve"> – объем фактически освоенных средств на реализацию Государственной программы в отчетном году;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Pr>
          <w:rFonts w:ascii="Times New Roman" w:hAnsi="Times New Roman" w:cs="Times New Roman"/>
          <w:color w:val="000000"/>
          <w:sz w:val="24"/>
          <w:szCs w:val="24"/>
          <w:vertAlign w:val="subscript"/>
        </w:rPr>
        <w:t>п</w:t>
      </w:r>
      <w:r>
        <w:rPr>
          <w:rFonts w:ascii="Times New Roman" w:hAnsi="Times New Roman" w:cs="Times New Roman"/>
          <w:color w:val="000000"/>
          <w:sz w:val="24"/>
          <w:szCs w:val="24"/>
        </w:rPr>
        <w:t xml:space="preserve"> – объем запланированных средств на реализацию Государственной программы в отчетном году.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реализации Государственной программы признается высокой, если значение ЭР составляет не менее 0,9, средней – если значение ЭР составляет не менее 0,8, удовлетворительной – если значение ЭР составляет не менее 0,67.</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остальных случаях эффективность реализации Государственной программы признается неудовлетворительной.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неудовлетворительную эффективность реализации Государственной программы, невыполнение целевых показателей, а также неэффективное использование средств ответственный заказчик и заказчики в пределах своей компетенции применяют меры ответственности к исполнителям мероприятий.</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 w:name="CA0_ГСП__1_РЗ_I_1_ГЛ_6_6"/>
      <w:bookmarkEnd w:id="10"/>
      <w:r>
        <w:rPr>
          <w:rFonts w:ascii="Times New Roman" w:hAnsi="Times New Roman" w:cs="Times New Roman"/>
          <w:b/>
          <w:color w:val="000000"/>
          <w:sz w:val="24"/>
          <w:szCs w:val="24"/>
        </w:rPr>
        <w:t>ГЛАВА 6</w:t>
      </w:r>
      <w:r>
        <w:rPr>
          <w:rFonts w:ascii="Times New Roman" w:hAnsi="Times New Roman" w:cs="Times New Roman"/>
          <w:b/>
          <w:color w:val="000000"/>
          <w:sz w:val="24"/>
          <w:szCs w:val="24"/>
        </w:rPr>
        <w:br/>
        <w:t>МЕХАНИЗМ КОНТРОЛЯ ЗА ХОДОМ РЕАЛИЗАЦИИ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заказчик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деятельность заказчиков Государственной программы и ее подпрограмм;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на постоянной основе мониторинг за реализацией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 предложения об уточнении объемов инвестиций и источников финансирования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предложений заказчиков Государственной программы разрабатывает и в установленном порядке вносит предложения по ее корректировке.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деятельность исполнителей мероприятий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в пределах своей компетенции в течение года мониторинг выполнения мероприятий Государственной программы и в случае невыполнения задач и целевых показателей по итогу текущего года вносит ответственному заказчику Государственной </w:t>
      </w:r>
      <w:r>
        <w:rPr>
          <w:rFonts w:ascii="Times New Roman" w:hAnsi="Times New Roman" w:cs="Times New Roman"/>
          <w:color w:val="000000"/>
          <w:sz w:val="24"/>
          <w:szCs w:val="24"/>
        </w:rPr>
        <w:lastRenderedPageBreak/>
        <w:t>программы предложения о корректировке мероприятий;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 пределах своей компетенции формирование и представление ответственному заказчику Государственной программы до 20 февраля года, следующего за отчетным, за исключением последнего года ее реализации, годового отчета о выполнении Государственной программы (подпрограммы) и итогового отчета о результатах ее реализации (до 20 января – в части мероприятий по научному обеспечению Государственной программы (подпрограммы).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заказчик Государственной программы формирует годовой отчет о результатах реализации Государственной программы (подпрограмм), за исключением последнего года ее реализации.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последний год реализации Государственной программы ответственный заказчик подготавливает итоговый отчет о результатах реализации Государственной программы (подпрограмм) за весь период реализации.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заказчик Государственной программы направляет годовой отчет о выполнении и итоговый отчет о результатах реализации Государственной программы (подпрограмм) за весь период реализации: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25 января года, следующего за отчетным, в Государственный комитет по науке и технологиям (в части мероприятий по научному обеспечению Государственной программы (подпрограмм) по установленным этим Комитетом формам;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1 марта года, следующего за отчетным, в Министерство экономики, Министерство финансов, а также в открытое акционерное общество «Банк развития Республики Беларусь» в случае реализации инвестиционных проектов за счет кредитов названного банка.</w:t>
      </w:r>
      <w:r w:rsidR="00B67A41">
        <w:rPr>
          <w:rFonts w:ascii="Times New Roman" w:hAnsi="Times New Roman" w:cs="Times New Roman"/>
          <w:color w:val="000000"/>
          <w:sz w:val="24"/>
          <w:szCs w:val="24"/>
        </w:rPr>
        <w:pict>
          <v:shape id="_x0000_i1041" type="#_x0000_t75" style="width:7.5pt;height:7.5pt">
            <v:imagedata r:id="rId7" o:title=""/>
          </v:shape>
        </w:pic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1" w:name="CA0_ГСП__1_РЗ_II_2CN__chapter_ii"/>
      <w:bookmarkEnd w:id="11"/>
      <w:r>
        <w:rPr>
          <w:rFonts w:ascii="Times New Roman" w:hAnsi="Times New Roman" w:cs="Times New Roman"/>
          <w:b/>
          <w:color w:val="000000"/>
          <w:sz w:val="24"/>
          <w:szCs w:val="24"/>
        </w:rPr>
        <w:t>РАЗДЕЛ II</w:t>
      </w:r>
      <w:r>
        <w:rPr>
          <w:rFonts w:ascii="Times New Roman" w:hAnsi="Times New Roman" w:cs="Times New Roman"/>
          <w:b/>
          <w:color w:val="000000"/>
          <w:sz w:val="24"/>
          <w:szCs w:val="24"/>
        </w:rPr>
        <w:br/>
        <w:t>ПОДПРОГРАММА 1 «ПОВЫШЕНИЕ ЭНЕРГОЭФФЕКТИВНОСТИ»</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2" w:name="CA0_ГСП__1_РЗ_II_2_ГЛ_7_8CN__chapter_7"/>
      <w:bookmarkEnd w:id="12"/>
      <w:r>
        <w:rPr>
          <w:rFonts w:ascii="Times New Roman" w:hAnsi="Times New Roman" w:cs="Times New Roman"/>
          <w:b/>
          <w:color w:val="000000"/>
          <w:sz w:val="24"/>
          <w:szCs w:val="24"/>
        </w:rPr>
        <w:t>ГЛАВА 7</w:t>
      </w:r>
      <w:r>
        <w:rPr>
          <w:rFonts w:ascii="Times New Roman" w:hAnsi="Times New Roman" w:cs="Times New Roman"/>
          <w:b/>
          <w:color w:val="000000"/>
          <w:sz w:val="24"/>
          <w:szCs w:val="24"/>
        </w:rPr>
        <w:br/>
        <w:t>ХАРАКТЕРИСТИКА ТЕКУЩЕГО СОСТОЯНИЯ И ОСНОВНЫЕ НАПРАВЛЕНИЯ ДАЛЬНЕЙШЕГО ПОВЫШЕНИЯ ЭФФЕКТИВНОСТИ ИСПОЛЬЗОВАНИЯ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системной работы по энергосбережению во всех отраслях экономика страны развивается практически без увеличения потребления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Валовое потребление ТЭР в республике в 2014 году практически не изменилось по отношению к уровню 2010 года.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Республиканской программы энергосбережения на 2011–2015 годы позволила получить за пятилетку экономию ТЭР в объеме 7,79 млн. т.у.т. При этом наибольшая экономия ТЭР получена за счет внедрения новых современных энергоэффективных технологий, процессов, оборудования и материалов, повышения эффективности действующих и строительства новых высокоэффективных энергоисточников, оптимизации схем теплоснабжения. В целом по республике за 2011–2014 годы за счет реализации организационно-технических мероприятий сэкономлено светлых нефтепродуктов в объеме около 878,6 тыс. т.у.т.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Дальнейшее повышение энергоэффективности будет также обеспечиваться в первую очередь за счет внедрения современных энергоэффективных технологий, энергосберегающего оборудования и материалов во всех отраслях экономики и отдельных технологических процессах, а также за счет структурной перестройки экономики, направленной на развитие менее энергоемких производств, активизации работы по популяризации энергосбережения и рационального использования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Выявление резервов экономии ТЭР будет осуществляться путем проведения энергетических обследований (аудитов), мониторинга потребления ТЭР в организациях республики.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Подпрограммой 1 «Повышение энергоэффективности» (далее – подпрограмма 1) предусматриваются следующие основные мероприятия для достижения экономии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в электро- и теплоэнергетике: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энергетической эффективности действующих энергоисточников Белорусской энергетической системы и вывод из эксплуатации неэффективных энергоисточников;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энергозатрат на производство и передачу электрической и тепловой энергии в Белорусской энергетической системе;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организационных и технических энергосберегающих мероприятий по интеграции Белорусской атомной электростанции в Белорусскую энергетическую систему;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автоматизированных систем управления теплоснабжающих и теплопотребляющих комплексов, включая комплексы «источники – тепловые сети – потребители», с управлением тепловыми и гидравлическими режимами в городах с населением 100 тыс. человек и более;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систем утилизации теплоты уходящих дымовых газов на энергоисточниках установленной тепловой мощностью 100 Гкал/ч и выше;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 в эксплуатацию начиная с 2016 года только энергоэффективного котельного оборудования, работающего на природном газе, с удельным расходом условного топлива на отпуск тепловой энергии не более 155 кг.у.т./Гкал;</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в промышленности</w:t>
      </w:r>
      <w:r>
        <w:rPr>
          <w:rFonts w:ascii="Times New Roman" w:hAnsi="Times New Roman" w:cs="Times New Roman"/>
          <w:color w:val="000000"/>
          <w:sz w:val="24"/>
          <w:szCs w:val="24"/>
        </w:rPr>
        <w:t xml:space="preserve"> – снижение к 2020 году норм расхода ТЭР на производство продукции (работ, услуг) на 2 процента и более к уровню 2015 года путем: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продолжения структурной перестройки предприятий, направленной на выпуск менее энергоемкой, конкурентоспособной, экспортоориентированной продукции;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структуры производств за счет специализации и концентрации отдельных энергоемких производств (литейных, термических, гальванических и других) по регионам в целях вывода из эксплуатации малозагруженного и неэффективного оборудования;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модернизации и технического переоснащения производств на базе современных наукоемких, ресурсо- и энергосберегающих технологий, оборудования и материалов, в том числе энергоемких (литейных, термических, гальванических и других);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электрических инфракрасных излучателей для отопления производственных помещений и технологических нужд;</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в жилищно-коммунальном хозяйстве: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работы действующих энергетических мощностей на основе использования инновационных и энергоэффективных технологий с поэтапным выводом из эксплуатации устаревшего оборудования;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потерь энергии в тепловых сетях к 2020 году до уровня 10 процентов за счет ежегодной замены тепловых сетей, находящихся на балансе организаций жилищно-коммунального хозяйства, в объеме не менее 4 процентов от их протяженности, оптимизации схем теплоснабжения населенных пунктов с ликвидацией неэффективных теплоисточников или децентрализацией систем теплоснабжения;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многоквартирных жилых домов (от 8 квартир и более) приборами учета и системами автоматического регулирования тепловой энергии исходя из технической и экономической целесообразности;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энергоэкономичных осветительных устройств и автоматических систем управления освещением;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режимов водоснабжения населенных пунктов в целях снижения потребления электроэнергии;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термосопротивления ограждающих конструкций эксплуатируемых жилых зданий;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дальнейшее вовлечение населения в процесс энергосбережения и повышения эффективности использования ТЭР в жилом комплексе;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 теплоснабжения населенных пунктов, в том числе строительство локальных теплоисточников, на основании утвержденных в установленном законодательством порядке схем теплоснабжения;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в строительстве и производстве строительных материалов: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освоение производства строительных материалов с использованием новейших энергосберегающих технологий;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и строительство преимущественно энергоэффективных зданий, в том числе с применением инновационных технологий использования ВИЭ;</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нефтяного кокса и торфобрикетов на предприятиях по производству цемента;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в сельском хозяйстве: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комплексного подхода к энергоснабжению агрогородков за счет использования местных ТЭР, в том числе ВИЭ;</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гелиоустановок для интенсификации процессов сушки продукции и подогрева воды в сельскохозяйственном производстве;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локальных биогазовых комплексов в сельскохозяйственных организациях, занимающихся разведением крупного рогатого скота, свиней и птицы;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модернизация животноводческих, птицеводческих комплексов с переходом на новые энергосберегающие технологии;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энергоэффективных зерносушильных установок, в том числе на местных ТЭР;</w:t>
      </w:r>
      <w:r w:rsidR="00B67A41">
        <w:rPr>
          <w:rFonts w:ascii="Times New Roman" w:hAnsi="Times New Roman" w:cs="Times New Roman"/>
          <w:color w:val="000000"/>
          <w:sz w:val="24"/>
          <w:szCs w:val="24"/>
        </w:rPr>
        <w:pict>
          <v:shape id="_x0000_i1042"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модернизация систем отопления производственных помещений с использованием </w:t>
      </w:r>
      <w:r>
        <w:rPr>
          <w:rFonts w:ascii="Times New Roman" w:hAnsi="Times New Roman" w:cs="Times New Roman"/>
          <w:color w:val="000000"/>
          <w:sz w:val="24"/>
          <w:szCs w:val="24"/>
        </w:rPr>
        <w:lastRenderedPageBreak/>
        <w:t>энергоэффективных технологий, заменой устаревшего отопительного оборудования на современное энергосберегающее;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в транспорте: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обновление парка механических транспортных средств, машин, механизмов и оборудования, вывод из эксплуатации изношенных транспортных средств, машин и механизмов;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установка оборудования систем контроля расхода топлива, разработка маршрутных норм расхода топлива, внедрение дифференцированного нормирования расхода топлива;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современного оборудования для диагностики, обслуживания и ремонта транспортных средств, машин и механизмов;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автоматизированных систем диспетчерского контроля и управления перевозками грузов и пассажиров;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использования транспортных средств, машин, механизмов, оборудования, оптимизация структуры парка транспортных средств;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наращивание объемов потребления биодизельного топлива;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дальнейшая электрификация участков железной дороги (Молодечно – Гудогай – государственная граница, Жлобин – Калинковичи);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персонала;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в нефтехимическом комплексе: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 в эксплуатацию установки замедленного коксования в открытом акционерном обществе «Нафтан» с производством нефтяного кокса;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расхода электрической энергии на транспорт нефти и нефтепродуктов с внедрением современного насосного оборудования;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в бюджетной сфере: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энергоэкономичных осветительных устройств и автоматических систем управления освещением;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термосопротивления ограждающих конструкций зданий;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гелиоводонагревателей в системах горячего водоснабжения;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и активизация пропаганды рационального и эффективного использования ТЭР, соблюдения режима повсеместной экономии и бережливости.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реализации данных мероприятий следует: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активное информационное обеспечение реализации Государственной программы, связанное с популяризацией экономических, экологических и социальных преимуществ эффективного использования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организовывать и проводить конкурсы в области энергосбережения и повышения энергоэффективности, в том числе республиканский конкурс школьных проектов по экономии и бережливости «Энергомарафон»;</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издание и распространение наглядной агитации, социальной теле- и радиорекламы, социальной наружной рекламы и рекламы на транспортных средствах, учебно-методических пособий, детской познавательной литературы по вопросам экономии и бережливости, увеличение количества соответствующей информации в глобальной компьютерной сети Интернет;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систематически и всесторонне освещать в республиканских и региональных средствах массовой информации вопросы экономного использования всех видов энергоресурсов, транслировать на телевидении соответствующие программы агитационного и познавательного характера для молодежи, а также шире пропагандировать опыт передовых коллективов республики, обеспечивающих режим экономии ТЭР и выпуск конкурентоспособной продукции с меньшими энергозатратами;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занятия по интересам, факультативы, курсы по вопросам экономии ТЭР и бережливости в учреждениях, обеспечивающих получение общего среднего образования в соответствии с утвержденными программами;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организовывать тематические акции, пресс-туры, пресс- и онлайн-конференции по вопросам рационального потребления энергоресурсов, приоритетным направлениям энергосбережения, передового опыта внедрения энергоэффективных технологий, в том числе зарубежных;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предусматривать создание демонстрационных территорий (демонстрационных зон высокой энергоэффективности), на которых реализованы проекты эффективного использования энергоресурсов, а также создание на их базе площадок по обмену опытом, проведению семинаров, конференций по экономии ТЭР и бережливости;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ежемесячное издание научно-практического журнала «Энергоэффективность» и других изданий по вопросам энергосбережения;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участие в тематических отечественных и зарубежных выставочных мероприятиях по энергосбережению;</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научно-технические, практические, обучающие семинары, в том числе в рамках реализации международных проектов по энергосбережению и повышению энергоэффективности в Республике Беларусь;</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закупку, надлежащее содержание и эффективное использование приборов и других технических средств для осуществления надзорной деятельности за рациональным использованием ТЭР, а также функционирование информационной автоматизированной системы по сбору, обработке и анализу текущей информации о состоянии энергопотребления, внедрении энергосберегающих технологий и оборудования, выполнении программ энергосбережения.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мероприятия по энергосбережению, обеспечивающие экономию ТЭР в объемах согласно таблице 1,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r w:rsidR="00B67A41">
        <w:rPr>
          <w:rFonts w:ascii="Times New Roman" w:hAnsi="Times New Roman" w:cs="Times New Roman"/>
          <w:color w:val="000000"/>
          <w:sz w:val="24"/>
          <w:szCs w:val="24"/>
        </w:rPr>
        <w:pict>
          <v:shape id="_x0000_i1043" type="#_x0000_t75" style="width:7.5pt;height:7.5pt">
            <v:imagedata r:id="rId7" o:title=""/>
          </v:shape>
        </w:pic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3" w:name="CA0_ГСП__1_РЗ_II_2_ГЛ_8_9CN__chapter_8"/>
      <w:bookmarkEnd w:id="13"/>
      <w:r>
        <w:rPr>
          <w:rFonts w:ascii="Times New Roman" w:hAnsi="Times New Roman" w:cs="Times New Roman"/>
          <w:b/>
          <w:color w:val="000000"/>
          <w:sz w:val="24"/>
          <w:szCs w:val="24"/>
        </w:rPr>
        <w:t>ГЛАВА 8</w:t>
      </w:r>
      <w:r>
        <w:rPr>
          <w:rFonts w:ascii="Times New Roman" w:hAnsi="Times New Roman" w:cs="Times New Roman"/>
          <w:b/>
          <w:color w:val="000000"/>
          <w:sz w:val="24"/>
          <w:szCs w:val="24"/>
        </w:rPr>
        <w:br/>
        <w:t>ЗАДАЧА И ЦЕЛЕВОЙ ПОКАЗАТЕЛЬ ПОДПРОГРАММЫ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Задачей подпрограммы 1 является обеспечение экономии ТЭР посредством реализации энергосберегающих мероприятий.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Целевым показателем выполнения подпрограммы 1 устанавливается объем экономии ТЭР в целом по республике на 2016–2020 годы на уровне 5 млн. т.у.т.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Суммарная по республике экономия ТЭР, требующаяся для достижения необходимых темпов роста валового потребления ТЭР, распределяется в виде заданий по экономии ТЭР министерствам, концернам, организациям Министерства энергетики в соответствии с таблицей 3, а также облисполкомам и Минскому горисполкому с учетом их доли в потреблении ТЭР республики и планируемых темпов экономического роста страны в соответствии с таблицей 4.</w:t>
      </w:r>
      <w:r w:rsidR="00B67A41">
        <w:rPr>
          <w:rFonts w:ascii="Times New Roman" w:hAnsi="Times New Roman" w:cs="Times New Roman"/>
          <w:color w:val="000000"/>
          <w:sz w:val="24"/>
          <w:szCs w:val="24"/>
        </w:rPr>
        <w:pict>
          <v:shape id="_x0000_i1044"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14" w:name="CA0_ГСП__1_РЗ_II_2_ГЛ_8_9_ТБЛ_3_3"/>
      <w:bookmarkEnd w:id="14"/>
      <w:r>
        <w:rPr>
          <w:rFonts w:ascii="Times New Roman" w:hAnsi="Times New Roman" w:cs="Times New Roman"/>
          <w:color w:val="000000"/>
          <w:sz w:val="24"/>
          <w:szCs w:val="24"/>
        </w:rPr>
        <w:t>Таблица 3</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(тыс. т.у.т.)</w:t>
      </w:r>
    </w:p>
    <w:tbl>
      <w:tblPr>
        <w:tblW w:w="5000" w:type="pct"/>
        <w:tblInd w:w="-15" w:type="dxa"/>
        <w:tblLayout w:type="fixed"/>
        <w:tblCellMar>
          <w:left w:w="0" w:type="dxa"/>
          <w:right w:w="0" w:type="dxa"/>
        </w:tblCellMar>
        <w:tblLook w:val="0000" w:firstRow="0" w:lastRow="0" w:firstColumn="0" w:lastColumn="0" w:noHBand="0" w:noVBand="0"/>
      </w:tblPr>
      <w:tblGrid>
        <w:gridCol w:w="3023"/>
        <w:gridCol w:w="1229"/>
        <w:gridCol w:w="945"/>
        <w:gridCol w:w="945"/>
        <w:gridCol w:w="945"/>
        <w:gridCol w:w="945"/>
        <w:gridCol w:w="1323"/>
      </w:tblGrid>
      <w:tr w:rsidR="00167A62">
        <w:trPr>
          <w:trHeight w:val="240"/>
        </w:trPr>
        <w:tc>
          <w:tcPr>
            <w:tcW w:w="1600" w:type="pct"/>
            <w:vMerge w:val="restar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50" w:type="pct"/>
            <w:gridSpan w:val="6"/>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Задания по экономии ТЭР*</w:t>
            </w:r>
          </w:p>
        </w:tc>
      </w:tr>
      <w:tr w:rsidR="00167A62">
        <w:trPr>
          <w:trHeight w:val="240"/>
        </w:trPr>
        <w:tc>
          <w:tcPr>
            <w:tcW w:w="720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700" w:type="pct"/>
            <w:gridSpan w:val="5"/>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167A62">
        <w:trPr>
          <w:trHeight w:val="240"/>
        </w:trPr>
        <w:tc>
          <w:tcPr>
            <w:tcW w:w="720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40" w:type="dxa"/>
            <w:vMerge/>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550" w:type="pct"/>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167A62">
        <w:trPr>
          <w:trHeight w:val="240"/>
        </w:trPr>
        <w:tc>
          <w:tcPr>
            <w:tcW w:w="16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Минпром</w:t>
            </w:r>
          </w:p>
        </w:tc>
        <w:tc>
          <w:tcPr>
            <w:tcW w:w="6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435,0</w:t>
            </w:r>
          </w:p>
        </w:tc>
        <w:tc>
          <w:tcPr>
            <w:tcW w:w="5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w:t>
            </w:r>
          </w:p>
        </w:tc>
        <w:tc>
          <w:tcPr>
            <w:tcW w:w="5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5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5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118,0</w:t>
            </w:r>
          </w:p>
        </w:tc>
        <w:tc>
          <w:tcPr>
            <w:tcW w:w="5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152,9</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Организации, подчиненные Минэнерго: </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ГПО «Белэнерго»</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ГПО «Белтопгаз»</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Минсельхозпрод</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Минздрав</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Минобороны</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Минобразование</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Минсвязи</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Минтранс</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Концерны: </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«Белгоспищепром»</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«Беллегпром»</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167A62">
        <w:trPr>
          <w:trHeight w:val="240"/>
        </w:trPr>
        <w:tc>
          <w:tcPr>
            <w:tcW w:w="1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«Беллесбумпром»</w:t>
            </w:r>
          </w:p>
        </w:tc>
        <w:tc>
          <w:tcPr>
            <w:tcW w:w="6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167A62">
        <w:trPr>
          <w:trHeight w:val="240"/>
        </w:trPr>
        <w:tc>
          <w:tcPr>
            <w:tcW w:w="16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«Белнефтехим»</w:t>
            </w:r>
          </w:p>
        </w:tc>
        <w:tc>
          <w:tcPr>
            <w:tcW w:w="6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675,0</w:t>
            </w:r>
          </w:p>
        </w:tc>
        <w:tc>
          <w:tcPr>
            <w:tcW w:w="5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5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5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135,0</w:t>
            </w:r>
          </w:p>
        </w:tc>
        <w:tc>
          <w:tcPr>
            <w:tcW w:w="5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5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а также холдингам, в уставных фондах управляющих компаний которых 50 и более процентов акций (долей) </w:t>
      </w:r>
      <w:r>
        <w:rPr>
          <w:rFonts w:ascii="Times New Roman" w:hAnsi="Times New Roman" w:cs="Times New Roman"/>
          <w:color w:val="000000"/>
          <w:sz w:val="24"/>
          <w:szCs w:val="24"/>
        </w:rPr>
        <w:lastRenderedPageBreak/>
        <w:t>находится в собственности государства.</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Задание будет уточнено с учетом резерва экономии ТЭР по итогам мониторинга организаций Министерства.</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15" w:name="CA0_ГСП__1_РЗ_II_2_ГЛ_8_9_ТБЛ_4_4"/>
      <w:bookmarkEnd w:id="15"/>
      <w:r>
        <w:rPr>
          <w:rFonts w:ascii="Times New Roman" w:hAnsi="Times New Roman" w:cs="Times New Roman"/>
          <w:color w:val="000000"/>
          <w:sz w:val="24"/>
          <w:szCs w:val="24"/>
        </w:rPr>
        <w:t>Таблица 4</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(тыс. т.у.т.)</w:t>
      </w:r>
    </w:p>
    <w:tbl>
      <w:tblPr>
        <w:tblW w:w="5000" w:type="pct"/>
        <w:tblInd w:w="-15" w:type="dxa"/>
        <w:tblLayout w:type="fixed"/>
        <w:tblCellMar>
          <w:left w:w="0" w:type="dxa"/>
          <w:right w:w="0" w:type="dxa"/>
        </w:tblCellMar>
        <w:tblLook w:val="0000" w:firstRow="0" w:lastRow="0" w:firstColumn="0" w:lastColumn="0" w:noHBand="0" w:noVBand="0"/>
      </w:tblPr>
      <w:tblGrid>
        <w:gridCol w:w="2929"/>
        <w:gridCol w:w="1133"/>
        <w:gridCol w:w="1039"/>
        <w:gridCol w:w="1040"/>
        <w:gridCol w:w="1040"/>
        <w:gridCol w:w="945"/>
        <w:gridCol w:w="1229"/>
      </w:tblGrid>
      <w:tr w:rsidR="00167A62">
        <w:trPr>
          <w:trHeight w:val="240"/>
        </w:trPr>
        <w:tc>
          <w:tcPr>
            <w:tcW w:w="1550" w:type="pct"/>
            <w:vMerge w:val="restar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400" w:type="pct"/>
            <w:gridSpan w:val="6"/>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Задания по экономии ТЭР*</w:t>
            </w:r>
          </w:p>
        </w:tc>
      </w:tr>
      <w:tr w:rsidR="00167A62">
        <w:trPr>
          <w:trHeight w:val="240"/>
        </w:trPr>
        <w:tc>
          <w:tcPr>
            <w:tcW w:w="699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750" w:type="pct"/>
            <w:gridSpan w:val="5"/>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167A62">
        <w:trPr>
          <w:trHeight w:val="240"/>
        </w:trPr>
        <w:tc>
          <w:tcPr>
            <w:tcW w:w="699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60" w:type="dxa"/>
            <w:vMerge/>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5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550" w:type="pct"/>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167A62">
        <w:trPr>
          <w:trHeight w:val="240"/>
        </w:trPr>
        <w:tc>
          <w:tcPr>
            <w:tcW w:w="15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6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w:t>
            </w:r>
          </w:p>
        </w:tc>
        <w:tc>
          <w:tcPr>
            <w:tcW w:w="5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5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5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5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5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r>
      <w:tr w:rsidR="00167A62">
        <w:trPr>
          <w:trHeight w:val="240"/>
        </w:trPr>
        <w:tc>
          <w:tcPr>
            <w:tcW w:w="15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6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167A62">
        <w:trPr>
          <w:trHeight w:val="240"/>
        </w:trPr>
        <w:tc>
          <w:tcPr>
            <w:tcW w:w="15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6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167A62">
        <w:trPr>
          <w:trHeight w:val="240"/>
        </w:trPr>
        <w:tc>
          <w:tcPr>
            <w:tcW w:w="15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6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r>
      <w:tr w:rsidR="00167A62">
        <w:trPr>
          <w:trHeight w:val="240"/>
        </w:trPr>
        <w:tc>
          <w:tcPr>
            <w:tcW w:w="15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6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167A62">
        <w:trPr>
          <w:trHeight w:val="240"/>
        </w:trPr>
        <w:tc>
          <w:tcPr>
            <w:tcW w:w="15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6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5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5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r>
      <w:tr w:rsidR="00167A62">
        <w:trPr>
          <w:trHeight w:val="240"/>
        </w:trPr>
        <w:tc>
          <w:tcPr>
            <w:tcW w:w="155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6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5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5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 всем организациям.</w:t>
      </w:r>
      <w:r w:rsidR="00B67A41">
        <w:rPr>
          <w:rFonts w:ascii="Times New Roman" w:hAnsi="Times New Roman" w:cs="Times New Roman"/>
          <w:color w:val="000000"/>
          <w:sz w:val="24"/>
          <w:szCs w:val="24"/>
        </w:rPr>
        <w:pict>
          <v:shape id="_x0000_i1045"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итогам года при необходимости возможна корректировка заданий по экономии ТЭР на очередной год с учетом достигнутых результатов в пределах установленного на пятилетний период задания по экономии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выполнения задачи подпрограммы 1 для республиканских органов государственного управления устанавливаются целевые показатели энергосбережения согласно </w:t>
      </w:r>
      <w:hyperlink r:id="rId14" w:anchor="Прил_3_Утв_1" w:history="1">
        <w:r>
          <w:rPr>
            <w:rFonts w:ascii="Times New Roman" w:hAnsi="Times New Roman" w:cs="Times New Roman"/>
            <w:color w:val="0000FF"/>
            <w:sz w:val="24"/>
            <w:szCs w:val="24"/>
          </w:rPr>
          <w:t>приложениям 3</w:t>
        </w:r>
      </w:hyperlink>
      <w:r>
        <w:rPr>
          <w:rFonts w:ascii="Times New Roman" w:hAnsi="Times New Roman" w:cs="Times New Roman"/>
          <w:color w:val="000000"/>
          <w:sz w:val="24"/>
          <w:szCs w:val="24"/>
        </w:rPr>
        <w:t xml:space="preserve"> и </w:t>
      </w:r>
      <w:hyperlink r:id="rId15" w:anchor="Заг_Прил_31" w:history="1">
        <w:r>
          <w:rPr>
            <w:rFonts w:ascii="Times New Roman" w:hAnsi="Times New Roman" w:cs="Times New Roman"/>
            <w:color w:val="0000FF"/>
            <w:sz w:val="24"/>
            <w:szCs w:val="24"/>
          </w:rPr>
          <w:t>3</w:t>
        </w:r>
      </w:hyperlink>
      <w:hyperlink r:id="rId16" w:anchor="Заг_Прил_3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и целевые показатели по экономии светлых нефтепродуктов (бензина, дизельного и биодизельного топлива) согласно </w:t>
      </w:r>
      <w:hyperlink r:id="rId17" w:anchor="Прил_4_Утв_1" w:history="1">
        <w:r>
          <w:rPr>
            <w:rFonts w:ascii="Times New Roman" w:hAnsi="Times New Roman" w:cs="Times New Roman"/>
            <w:color w:val="0000FF"/>
            <w:sz w:val="24"/>
            <w:szCs w:val="24"/>
          </w:rPr>
          <w:t>приложениям 4</w:t>
        </w:r>
      </w:hyperlink>
      <w:r>
        <w:rPr>
          <w:rFonts w:ascii="Times New Roman" w:hAnsi="Times New Roman" w:cs="Times New Roman"/>
          <w:color w:val="000000"/>
          <w:sz w:val="24"/>
          <w:szCs w:val="24"/>
        </w:rPr>
        <w:t xml:space="preserve"> и </w:t>
      </w:r>
      <w:hyperlink r:id="rId18" w:anchor="Заг_Прил_41" w:history="1">
        <w:r>
          <w:rPr>
            <w:rFonts w:ascii="Times New Roman" w:hAnsi="Times New Roman" w:cs="Times New Roman"/>
            <w:color w:val="0000FF"/>
            <w:sz w:val="24"/>
            <w:szCs w:val="24"/>
          </w:rPr>
          <w:t>4</w:t>
        </w:r>
      </w:hyperlink>
      <w:hyperlink r:id="rId19" w:anchor="Заг_Прил_4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r w:rsidR="00B67A41">
        <w:rPr>
          <w:rFonts w:ascii="Times New Roman" w:hAnsi="Times New Roman" w:cs="Times New Roman"/>
          <w:color w:val="000000"/>
          <w:sz w:val="24"/>
          <w:szCs w:val="24"/>
        </w:rPr>
        <w:pict>
          <v:shape id="_x0000_i1046"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организовывают сбор информации по экономии светлых нефтепродуктов по соответствующим подчиненным (входящим в состав) организациям.</w:t>
      </w:r>
      <w:r w:rsidR="00B67A41">
        <w:rPr>
          <w:rFonts w:ascii="Times New Roman" w:hAnsi="Times New Roman" w:cs="Times New Roman"/>
          <w:color w:val="000000"/>
          <w:sz w:val="24"/>
          <w:szCs w:val="24"/>
        </w:rPr>
        <w:pict>
          <v:shape id="_x0000_i1047"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Целевые показатели энергосбережения устанавливаются на основании отношения экономии ТЭР к суммарному потреблению ТЭР.</w:t>
      </w:r>
      <w:r w:rsidR="00B67A41">
        <w:rPr>
          <w:rFonts w:ascii="Times New Roman" w:hAnsi="Times New Roman" w:cs="Times New Roman"/>
          <w:color w:val="000000"/>
          <w:sz w:val="24"/>
          <w:szCs w:val="24"/>
        </w:rPr>
        <w:pict>
          <v:shape id="_x0000_i1048"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Целевые показатели по экономии светлых нефтепродуктов (бензина, дизельного и биодизельного топлива) устанавливаются в размере 5 процентов.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безусловного выполнения установленного Государственной программой сводного целевого показателя по снижению энергоемкости ВВП в подпрограмме 1 целевые показатели энергосбережения и по экономии светлых нефтепродуктов устанавливаются на каждый последующий год с учетом достигнутых результатов.</w:t>
      </w:r>
      <w:r w:rsidR="00B67A41">
        <w:rPr>
          <w:rFonts w:ascii="Times New Roman" w:hAnsi="Times New Roman" w:cs="Times New Roman"/>
          <w:color w:val="000000"/>
          <w:sz w:val="24"/>
          <w:szCs w:val="24"/>
        </w:rPr>
        <w:pict>
          <v:shape id="_x0000_i1049"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Конкретные мероприятия, обеспечивающие выполнение целевых показателей, указанных в </w:t>
      </w:r>
      <w:hyperlink r:id="rId20" w:anchor="Прил_3_Утв_1" w:history="1">
        <w:r>
          <w:rPr>
            <w:rFonts w:ascii="Times New Roman" w:hAnsi="Times New Roman" w:cs="Times New Roman"/>
            <w:color w:val="0000FF"/>
            <w:sz w:val="24"/>
            <w:szCs w:val="24"/>
          </w:rPr>
          <w:t>приложениях 3–4</w:t>
        </w:r>
      </w:hyperlink>
      <w:hyperlink r:id="rId21" w:anchor="Прил_3_Утв_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к Государственной программе,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r w:rsidR="00B67A41">
        <w:rPr>
          <w:rFonts w:ascii="Times New Roman" w:hAnsi="Times New Roman" w:cs="Times New Roman"/>
          <w:color w:val="000000"/>
          <w:sz w:val="24"/>
          <w:szCs w:val="24"/>
        </w:rPr>
        <w:pict>
          <v:shape id="_x0000_i1050" type="#_x0000_t75" style="width:7.5pt;height:7.5pt">
            <v:imagedata r:id="rId7" o:title=""/>
          </v:shape>
        </w:pic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 w:name="CA0_ГСП__1_РЗ_II_2_ГЛ_9_10CN__chapter_9"/>
      <w:bookmarkEnd w:id="16"/>
      <w:r>
        <w:rPr>
          <w:rFonts w:ascii="Times New Roman" w:hAnsi="Times New Roman" w:cs="Times New Roman"/>
          <w:b/>
          <w:color w:val="000000"/>
          <w:sz w:val="24"/>
          <w:szCs w:val="24"/>
        </w:rPr>
        <w:t>ГЛАВА 9</w:t>
      </w:r>
      <w:r>
        <w:rPr>
          <w:rFonts w:ascii="Times New Roman" w:hAnsi="Times New Roman" w:cs="Times New Roman"/>
          <w:b/>
          <w:color w:val="000000"/>
          <w:sz w:val="24"/>
          <w:szCs w:val="24"/>
        </w:rPr>
        <w:br/>
        <w:t>ФИНАНСОВОЕ ОБЕСПЕЧЕНИЕ ПОДПРОГРАММЫ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Источниками финансирования подпрограммы 1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подпрограммы 1 и источники их финансирования приведены в общем комплексе энергосберегающих мероприятий Государственной программы согласно </w:t>
      </w:r>
      <w:hyperlink r:id="rId22" w:anchor="Прил_5_Утв_1"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w:t>
      </w:r>
      <w:r w:rsidR="00B67A41">
        <w:rPr>
          <w:rFonts w:ascii="Times New Roman" w:hAnsi="Times New Roman" w:cs="Times New Roman"/>
          <w:color w:val="000000"/>
          <w:sz w:val="24"/>
          <w:szCs w:val="24"/>
        </w:rPr>
        <w:pict>
          <v:shape id="_x0000_i1051"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из бюджета на очередной финансовый год уточняются после его утверждения.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финансового обеспечения мероприятий, реализация которых направлена на выполнение задачи подпрограммы 1, определяются при разработке планов деятельности заказчиков на соответствующий финансовый год по выполнению целевых показателей и перечня основных мероприятий в сфере энергосбережения.</w:t>
      </w:r>
      <w:r w:rsidR="00B67A41">
        <w:rPr>
          <w:rFonts w:ascii="Times New Roman" w:hAnsi="Times New Roman" w:cs="Times New Roman"/>
          <w:color w:val="000000"/>
          <w:sz w:val="24"/>
          <w:szCs w:val="24"/>
        </w:rPr>
        <w:pict>
          <v:shape id="_x0000_i1052" type="#_x0000_t75" style="width:7.5pt;height:7.5pt">
            <v:imagedata r:id="rId7" o:title=""/>
          </v:shape>
        </w:pic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7" w:name="CA0_ГСП__1_РЗ_II_2_ГЛ_10_11CN__chapter_1"/>
      <w:bookmarkEnd w:id="17"/>
      <w:r>
        <w:rPr>
          <w:rFonts w:ascii="Times New Roman" w:hAnsi="Times New Roman" w:cs="Times New Roman"/>
          <w:b/>
          <w:color w:val="000000"/>
          <w:sz w:val="24"/>
          <w:szCs w:val="24"/>
        </w:rPr>
        <w:t>ГЛАВА 10</w:t>
      </w:r>
      <w:r>
        <w:rPr>
          <w:rFonts w:ascii="Times New Roman" w:hAnsi="Times New Roman" w:cs="Times New Roman"/>
          <w:b/>
          <w:color w:val="000000"/>
          <w:sz w:val="24"/>
          <w:szCs w:val="24"/>
        </w:rPr>
        <w:br/>
        <w:t>АНАЛИЗ ОСНОВНЫХ РИСКОВ ПРИ ВЫПОЛНЕНИИ ПОДПРОГРАММЫ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подпрограммы 1 возможно возникновение рисков, обусловленных: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наличием фактов нерационального использования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несвоевременным привлечением и (или) использованием финансовых средств;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невыполнением запланированных мероприятий.</w:t>
      </w:r>
      <w:r w:rsidR="00B67A41">
        <w:rPr>
          <w:rFonts w:ascii="Times New Roman" w:hAnsi="Times New Roman" w:cs="Times New Roman"/>
          <w:color w:val="000000"/>
          <w:sz w:val="24"/>
          <w:szCs w:val="24"/>
        </w:rPr>
        <w:pict>
          <v:shape id="_x0000_i1053"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влияние на результаты выполнения подпрограммы 1 могут оказать и другие риски, связанные с изменением: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 (тарифов) на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показателей денежно-кредитной политики республики;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темпов роста производства продукции (работ, услуг) в различных секторах экономики;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технологии производства.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Основными мерами по минимизации рисков являются мониторинг и контроль за реализацией мероприятий подпрограммы 1, осуществляемые заказчиками Государственной программы на постоянной основе. Результаты выполнения краткосрочных программ энергосбережения рассматриваются в Департаменте по </w:t>
      </w:r>
      <w:r>
        <w:rPr>
          <w:rFonts w:ascii="Times New Roman" w:hAnsi="Times New Roman" w:cs="Times New Roman"/>
          <w:color w:val="000000"/>
          <w:sz w:val="24"/>
          <w:szCs w:val="24"/>
        </w:rPr>
        <w:lastRenderedPageBreak/>
        <w:t>энергоэффективности Госстандарта ежеквартально в соответствии с утвержденными графиками.</w:t>
      </w:r>
      <w:r w:rsidR="00B67A41">
        <w:rPr>
          <w:rFonts w:ascii="Times New Roman" w:hAnsi="Times New Roman" w:cs="Times New Roman"/>
          <w:color w:val="000000"/>
          <w:sz w:val="24"/>
          <w:szCs w:val="24"/>
        </w:rPr>
        <w:pict>
          <v:shape id="_x0000_i1054"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при формировании годового отчета по выполнению мероприятий Государственной программы проводится оценка ее эффективности, по результатам которой вырабатываются при необходимости компенсационные и иные меры реагирования.</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8" w:name="CA0_ГСП__1_РЗ_II_2_ГЛ_11_12CN__chapter_1"/>
      <w:bookmarkEnd w:id="18"/>
      <w:r>
        <w:rPr>
          <w:rFonts w:ascii="Times New Roman" w:hAnsi="Times New Roman" w:cs="Times New Roman"/>
          <w:b/>
          <w:color w:val="000000"/>
          <w:sz w:val="24"/>
          <w:szCs w:val="24"/>
        </w:rPr>
        <w:t>ГЛАВА 11</w:t>
      </w:r>
      <w:r>
        <w:rPr>
          <w:rFonts w:ascii="Times New Roman" w:hAnsi="Times New Roman" w:cs="Times New Roman"/>
          <w:b/>
          <w:color w:val="000000"/>
          <w:sz w:val="24"/>
          <w:szCs w:val="24"/>
        </w:rPr>
        <w:br/>
        <w:t>ОЦЕНКА ЭФФЕКТИВНОСТИ ПОДПРОГРАММЫ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эффективности подпрограммы 1 проводится ответственным заказчиком ежегодно при формировании годового отчета о ходе выполнения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оценки эффективности подпрограммы 1 основывается на сравнении фактически достигнутого значения показателя годовой экономии ТЭР за счет реализации мероприятий по энергосбережению (по официальной статистической информации) с его плановым значением, указанным в таблице 1 </w:t>
      </w:r>
      <w:hyperlink r:id="rId23" w:anchor="Заг_Утв_1&amp;Chapter=2" w:history="1">
        <w:r>
          <w:rPr>
            <w:rFonts w:ascii="Times New Roman" w:hAnsi="Times New Roman" w:cs="Times New Roman"/>
            <w:color w:val="0000FF"/>
            <w:sz w:val="24"/>
            <w:szCs w:val="24"/>
          </w:rPr>
          <w:t>главы 2</w:t>
        </w:r>
      </w:hyperlink>
      <w:r>
        <w:rPr>
          <w:rFonts w:ascii="Times New Roman" w:hAnsi="Times New Roman" w:cs="Times New Roman"/>
          <w:color w:val="000000"/>
          <w:sz w:val="24"/>
          <w:szCs w:val="24"/>
        </w:rPr>
        <w:t xml:space="preserve"> Государственной программы.</w:t>
      </w:r>
      <w:r w:rsidR="00B67A41">
        <w:rPr>
          <w:rFonts w:ascii="Times New Roman" w:hAnsi="Times New Roman" w:cs="Times New Roman"/>
          <w:color w:val="000000"/>
          <w:sz w:val="24"/>
          <w:szCs w:val="24"/>
        </w:rPr>
        <w:pict>
          <v:shape id="_x0000_i1055"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решения задачи подпрограммы 1 рассчитывается по формуле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СP</w:t>
      </w:r>
      <w:r>
        <w:rPr>
          <w:rFonts w:ascii="Times New Roman" w:hAnsi="Times New Roman" w:cs="Times New Roman"/>
          <w:color w:val="000000"/>
          <w:sz w:val="24"/>
          <w:szCs w:val="24"/>
          <w:vertAlign w:val="subscript"/>
        </w:rPr>
        <w:t xml:space="preserve">п/п </w:t>
      </w:r>
      <w:r>
        <w:rPr>
          <w:rFonts w:ascii="Times New Roman" w:hAnsi="Times New Roman" w:cs="Times New Roman"/>
          <w:color w:val="000000"/>
          <w:sz w:val="24"/>
          <w:szCs w:val="24"/>
        </w:rPr>
        <w:t>= ЗП</w:t>
      </w:r>
      <w:r>
        <w:rPr>
          <w:rFonts w:ascii="Times New Roman" w:hAnsi="Times New Roman" w:cs="Times New Roman"/>
          <w:color w:val="000000"/>
          <w:sz w:val="24"/>
          <w:szCs w:val="24"/>
          <w:vertAlign w:val="subscript"/>
        </w:rPr>
        <w:t xml:space="preserve">п/пф </w:t>
      </w:r>
      <w:r>
        <w:rPr>
          <w:rFonts w:ascii="Times New Roman" w:hAnsi="Times New Roman" w:cs="Times New Roman"/>
          <w:color w:val="000000"/>
          <w:sz w:val="24"/>
          <w:szCs w:val="24"/>
        </w:rPr>
        <w:t>/ ЗП</w:t>
      </w:r>
      <w:r>
        <w:rPr>
          <w:rFonts w:ascii="Times New Roman" w:hAnsi="Times New Roman" w:cs="Times New Roman"/>
          <w:color w:val="000000"/>
          <w:sz w:val="24"/>
          <w:szCs w:val="24"/>
          <w:vertAlign w:val="subscript"/>
        </w:rPr>
        <w:t>п/пп</w:t>
      </w:r>
      <w:r>
        <w:rPr>
          <w:rFonts w:ascii="Times New Roman" w:hAnsi="Times New Roman" w:cs="Times New Roman"/>
          <w:color w:val="000000"/>
          <w:sz w:val="24"/>
          <w:szCs w:val="24"/>
        </w:rPr>
        <w:t>,</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СP</w:t>
      </w:r>
      <w:r>
        <w:rPr>
          <w:rFonts w:ascii="Times New Roman" w:hAnsi="Times New Roman" w:cs="Times New Roman"/>
          <w:color w:val="000000"/>
          <w:sz w:val="24"/>
          <w:szCs w:val="24"/>
          <w:vertAlign w:val="subscript"/>
        </w:rPr>
        <w:t xml:space="preserve">п/п </w:t>
      </w:r>
      <w:r>
        <w:rPr>
          <w:rFonts w:ascii="Times New Roman" w:hAnsi="Times New Roman" w:cs="Times New Roman"/>
          <w:color w:val="000000"/>
          <w:sz w:val="24"/>
          <w:szCs w:val="24"/>
        </w:rPr>
        <w:t xml:space="preserve"> – степень достижения планового значения экономии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ЗП</w:t>
      </w:r>
      <w:r>
        <w:rPr>
          <w:rFonts w:ascii="Times New Roman" w:hAnsi="Times New Roman" w:cs="Times New Roman"/>
          <w:color w:val="000000"/>
          <w:sz w:val="24"/>
          <w:szCs w:val="24"/>
          <w:vertAlign w:val="subscript"/>
        </w:rPr>
        <w:t xml:space="preserve">п/пф </w:t>
      </w:r>
      <w:r>
        <w:rPr>
          <w:rFonts w:ascii="Times New Roman" w:hAnsi="Times New Roman" w:cs="Times New Roman"/>
          <w:color w:val="000000"/>
          <w:sz w:val="24"/>
          <w:szCs w:val="24"/>
        </w:rPr>
        <w:t xml:space="preserve"> – фактически достигнутое на конец отчетного периода значение экономии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ЗП</w:t>
      </w:r>
      <w:r>
        <w:rPr>
          <w:rFonts w:ascii="Times New Roman" w:hAnsi="Times New Roman" w:cs="Times New Roman"/>
          <w:color w:val="000000"/>
          <w:sz w:val="24"/>
          <w:szCs w:val="24"/>
          <w:vertAlign w:val="subscript"/>
        </w:rPr>
        <w:t xml:space="preserve">п/пп </w:t>
      </w:r>
      <w:r>
        <w:rPr>
          <w:rFonts w:ascii="Times New Roman" w:hAnsi="Times New Roman" w:cs="Times New Roman"/>
          <w:color w:val="000000"/>
          <w:sz w:val="24"/>
          <w:szCs w:val="24"/>
        </w:rPr>
        <w:t xml:space="preserve"> – плановое значение экономии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реализации подпрограммы 1 оценивается как высокая, если значение СP</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составляет не менее 0,9, как средняя – если значение СP</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составляет не менее 0,8, как удовлетворительная – если значение СP</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составляет не менее 0,67.</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остальных случаях эффективность реализации подпрограммы 1 признается неудовлетворительной.</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9" w:name="CA0_ГСП__1_РЗ_III_3CN__chapter_iii"/>
      <w:bookmarkEnd w:id="19"/>
      <w:r>
        <w:rPr>
          <w:rFonts w:ascii="Times New Roman" w:hAnsi="Times New Roman" w:cs="Times New Roman"/>
          <w:b/>
          <w:color w:val="000000"/>
          <w:sz w:val="24"/>
          <w:szCs w:val="24"/>
        </w:rPr>
        <w:t>РАЗДЕЛ III</w:t>
      </w:r>
      <w:r>
        <w:rPr>
          <w:rFonts w:ascii="Times New Roman" w:hAnsi="Times New Roman" w:cs="Times New Roman"/>
          <w:b/>
          <w:color w:val="000000"/>
          <w:sz w:val="24"/>
          <w:szCs w:val="24"/>
        </w:rPr>
        <w:br/>
        <w:t>ПОДПРОГРАММА 2 «РАЗВИТИЕ ИСПОЛЬЗОВАНИЯ МЕСТНЫХ ТОПЛИВНО-ЭНЕРГЕТИЧЕСКИХ РЕСУРСОВ, В ТОМ ЧИСЛЕ ВОЗОБНОВЛЯЕМЫХ ИСТОЧНИКОВ ЭНЕРГИИ»</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0" w:name="CA0_ГСП__1_РЗ_III_3_ГЛ_12_13CN__chapter_"/>
      <w:bookmarkEnd w:id="20"/>
      <w:r>
        <w:rPr>
          <w:rFonts w:ascii="Times New Roman" w:hAnsi="Times New Roman" w:cs="Times New Roman"/>
          <w:b/>
          <w:color w:val="000000"/>
          <w:sz w:val="24"/>
          <w:szCs w:val="24"/>
        </w:rPr>
        <w:t>ГЛАВА 12</w:t>
      </w:r>
      <w:r>
        <w:rPr>
          <w:rFonts w:ascii="Times New Roman" w:hAnsi="Times New Roman" w:cs="Times New Roman"/>
          <w:b/>
          <w:color w:val="000000"/>
          <w:sz w:val="24"/>
          <w:szCs w:val="24"/>
        </w:rPr>
        <w:br/>
        <w:t>ХАРАКТЕРИСТИКА ТЕКУЩЕГО СОСТОЯНИЯ И НАПРАВЛЕНИЯ ДАЛЬНЕЙШЕГО РАЗВИТИЯ ИСПОЛЬЗОВАНИЯ МЕСТНЫХ ТЭР, В ТОМ ЧИСЛЕ ВИЭ</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Широкое использование в республике местных ТЭР, в том числе ВИЭ, позволяет повысить энергетическую безопасность государства, способствует развитию собственных </w:t>
      </w:r>
      <w:r>
        <w:rPr>
          <w:rFonts w:ascii="Times New Roman" w:hAnsi="Times New Roman" w:cs="Times New Roman"/>
          <w:color w:val="000000"/>
          <w:sz w:val="24"/>
          <w:szCs w:val="24"/>
        </w:rPr>
        <w:lastRenderedPageBreak/>
        <w:t>технологий и производству соответствующего оборудования, которые впоследствии можно экспортировать. Кроме того, использование местных ТЭР, как правило, является экологически безопасным использованием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Одним из важнейших факторов энергетической безопасности страны является повышение уровня удовлетворения потребности в энергии за счет собственных энергоресурсов. Повышение энергетической самостоятельности государства должно осуществляться с учетом максимального вовлечения в топливный баланс местных ТЭР и ВИЭ.</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последние годы в республике проделана значительная работа по вовлечению в топливный баланс местных ТЭР, в том числе ВИЭ. Доля местных ТЭР в КПТ увеличилась с 20,7 процента в 2010 году до 29,5 процента в 2015 году.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т.у.т.). Доля электроэнергии, выработанной на гидро-, ветро- и солнечных электростанциях, составляла в 2010 году 0,1 процента от объема производства электрической энергии, в 2014 году – 0,7 процента.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секторе возобновляемой энергетики с учетом природных, географических и метеорологических условий республики в рамках выполнения подпрограммы 2 «Развитие использования местных топливно-энергетических ресурсов, в том числе возобновляемых источников энергии» (далее – подпрограмма 2) предусмотрено использование биомассы (дрова, отходы древесины, быстрорастущая древесина, отходы растениеводства, в том числе путем производства жидкого и газообразного биотоплива), энергии воды, ветра и солнца, энергии, получаемой из коммунальных отходов, геотермальной энергии.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2020 году в эксплуатацию будет введено 128 энергоисточников на местных видах топлива.</w:t>
      </w:r>
      <w:r w:rsidR="00B67A41">
        <w:rPr>
          <w:rFonts w:ascii="Times New Roman" w:hAnsi="Times New Roman" w:cs="Times New Roman"/>
          <w:color w:val="000000"/>
          <w:sz w:val="24"/>
          <w:szCs w:val="24"/>
        </w:rPr>
        <w:pict>
          <v:shape id="_x0000_i1056"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Показатели ввода в эксплуатацию энергоисточников на местных ТЭР (сводные показатели и показатели пообъектно по областям) приведены согласно </w:t>
      </w:r>
      <w:hyperlink r:id="rId24" w:anchor="Прил_6_Утв_1"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 xml:space="preserve"> (таблицы 1 и 2).</w:t>
      </w:r>
      <w:r w:rsidR="00B67A41">
        <w:rPr>
          <w:rFonts w:ascii="Times New Roman" w:hAnsi="Times New Roman" w:cs="Times New Roman"/>
          <w:color w:val="000000"/>
          <w:sz w:val="24"/>
          <w:szCs w:val="24"/>
        </w:rPr>
        <w:pict>
          <v:shape id="_x0000_i1057"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созданы условия для расширения производства электрической и тепловой энергии из ВИЭ, сформирована долгосрочная политика развития ВИЭ, учитывающая структуру и тенденции изменения прогнозного топливно-энергетического баланса.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Отношения, связанные с использованием ВИЭ для производства электрической энергии и ее потреблением, производством установок по использованию ВИЭ, регулируются </w:t>
      </w:r>
      <w:hyperlink r:id="rId25" w:anchor="H11000204" w:history="1">
        <w:r>
          <w:rPr>
            <w:rFonts w:ascii="Times New Roman" w:hAnsi="Times New Roman" w:cs="Times New Roman"/>
            <w:color w:val="0000FF"/>
            <w:sz w:val="24"/>
            <w:szCs w:val="24"/>
          </w:rPr>
          <w:t>Законом Республики Беларусь от 27 декабря 2010 года</w:t>
        </w:r>
      </w:hyperlink>
      <w:r>
        <w:rPr>
          <w:rFonts w:ascii="Times New Roman" w:hAnsi="Times New Roman" w:cs="Times New Roman"/>
          <w:color w:val="000000"/>
          <w:sz w:val="24"/>
          <w:szCs w:val="24"/>
        </w:rPr>
        <w:t xml:space="preserve"> «О возобновляемых источниках энергии» (Национальный реестр правовых актов Республики Беларусь, 2011 г., № 2, 2/1756).</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создания новых, модернизации и реконструкции действующих установок по использованию ВИЭ определен </w:t>
      </w:r>
      <w:hyperlink r:id="rId26" w:anchor="P31500209" w:history="1">
        <w:r>
          <w:rPr>
            <w:rFonts w:ascii="Times New Roman" w:hAnsi="Times New Roman" w:cs="Times New Roman"/>
            <w:color w:val="0000FF"/>
            <w:sz w:val="24"/>
            <w:szCs w:val="24"/>
          </w:rPr>
          <w:t>Указом Президента Республики Беларусь от 18 мая 2015 г. № 209</w:t>
        </w:r>
      </w:hyperlink>
      <w:r>
        <w:rPr>
          <w:rFonts w:ascii="Times New Roman" w:hAnsi="Times New Roman" w:cs="Times New Roman"/>
          <w:color w:val="000000"/>
          <w:sz w:val="24"/>
          <w:szCs w:val="24"/>
        </w:rPr>
        <w:t xml:space="preserve"> «Об использовании возобновляемых источников энергии» (Национальный правовой Интернет-портал Республики Беларусь, 20.05.2015, 1/15808) и </w:t>
      </w:r>
      <w:hyperlink r:id="rId27" w:anchor="C21500662" w:history="1">
        <w:r>
          <w:rPr>
            <w:rFonts w:ascii="Times New Roman" w:hAnsi="Times New Roman" w:cs="Times New Roman"/>
            <w:color w:val="0000FF"/>
            <w:sz w:val="24"/>
            <w:szCs w:val="24"/>
          </w:rPr>
          <w:t>постановлением Совета Министров Республики Беларусь от 6 августа 2015 г. № 662</w:t>
        </w:r>
      </w:hyperlink>
      <w:r>
        <w:rPr>
          <w:rFonts w:ascii="Times New Roman" w:hAnsi="Times New Roman" w:cs="Times New Roman"/>
          <w:color w:val="000000"/>
          <w:sz w:val="24"/>
          <w:szCs w:val="24"/>
        </w:rPr>
        <w:t xml:space="preserve"> «Об установлении и </w:t>
      </w:r>
      <w:r>
        <w:rPr>
          <w:rFonts w:ascii="Times New Roman" w:hAnsi="Times New Roman" w:cs="Times New Roman"/>
          <w:color w:val="000000"/>
          <w:sz w:val="24"/>
          <w:szCs w:val="24"/>
        </w:rPr>
        <w:lastRenderedPageBreak/>
        <w:t>распределении квот на создание установок по использованию возобновляемых источников энергии» (Национальный правовой Интернет-портал Республики Беларусь, 11.08.2015, 5/40894).</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Тарифы на электрическую энергию, производимую из ВИЭ, установлены </w:t>
      </w:r>
      <w:hyperlink r:id="rId28" w:anchor="W21530189" w:history="1">
        <w:r>
          <w:rPr>
            <w:rFonts w:ascii="Times New Roman" w:hAnsi="Times New Roman" w:cs="Times New Roman"/>
            <w:color w:val="0000FF"/>
            <w:sz w:val="24"/>
            <w:szCs w:val="24"/>
          </w:rPr>
          <w:t>постановлением Министерства экономики Республики Беларусь от 7 августа 2015 г. № 45</w:t>
        </w:r>
      </w:hyperlink>
      <w:r>
        <w:rPr>
          <w:rFonts w:ascii="Times New Roman" w:hAnsi="Times New Roman" w:cs="Times New Roman"/>
          <w:color w:val="000000"/>
          <w:sz w:val="24"/>
          <w:szCs w:val="24"/>
        </w:rPr>
        <w:t xml:space="preserve"> «О тарифах на электрическую энергию, производимую из возобновляемых источников энергии на территории Республики Беларусь индивидуальными предпринимателями и юридическими лицами, не входящими в состав государственного производственного объединения электроэнергетики «Белэнерго», и отпускаемую энергоснабжающим организациям данного объединения» (Национальный правовой Интернет-портал Республики Беларусь, 27.08.2015, 8/30189).</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основной упор сделан на расширение использования древесного топлива. Это связано с наименьшими объемами капиталовложений и небольшими сроками окупаемости в сравнении с другими видами ВИЭ. В целях обеспечения топливом действующих и создаваемых энергоисточников на древесной биомассе проведена целенаправленная работа по созданию соответствующих производств. Лесной комплекс обеспечен современной техникой отечественных производителей для выполнения лесозаготовительных работ, в том числе производства топливной щепы.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проведенный в последние годы комплекс работ позволяет делать более оптимистичный прогноз в части использования энергии ветра для производства электроэнергии.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климатических условий основными направлениями использования энергии солнца преимущественно были гелиоводонагреватели и различные гелиоустановки для интенсификации процессов сушки продукции и подогрева воды в сельскохозяйственном производстве, а также бытовых целей. В связи со значительным снижением стоимости фотоэлектрических панелей в перспективе прогнозируется значительный рост внедрения фотоэлектрических станций.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1 декабря 2015 г. в Республике Беларусь действуют: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более 3200 энергоисточников на местных ТЭР суммарной электрической мощностью 130 МВт и тепловой мощностью более 6000 МВт, в том числе 22 мини-ТЭЦ на местных ТЭР суммарной электрической мощностью около 130 МВт, тепловой – около 345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биогазовых установок суммарной электрической мощностью около 22,7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гидроэлектростанция суммарной установленной электрической мощностью около 34,6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50 ветроэнергетических установок суммарной электрической установленной мощностью около 29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118 тепловых насосов суммарной тепловой мощностью около 10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фотоэлектрических станций суммарной электрической мощностью около 12,8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287 гелиоводонагревательных установок суммарной тепловой мощностью около 3,9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Основными направлениями дальнейшего развития использования местных ТЭР будут являться: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энергоисточников, использующих местные ТЭР (древесное и торфяное топливо, горючие отходы), тепловой мощностью около 680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производства и использования новых видов топлива, получаемых из биомассы, в том числе за счет внедрения технологий газификации биомассы, предполагающих переработку древесных отходов, создания новых производств по изготовлению древесных гранул (пеллет), древесных и смесевых с древесным топливом брикетов, разработки и внедрения новых передовых технологий использования биомассы (использование биомассы для производства бионефти, где одним из ее сырьевых компонентов являются древесные отходы);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инфраструктуры по заготовке и транспортировке древесного топлива со снижением затрат на заготовку, транспортировку и хранение энергетической биомассы, повышение ее эксплуатационных характеристик;</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в организациях жилищно-коммунального хозяйства мощностей по производству топлива из твердых коммунальных отходов (RDF-топливо) с его использованием на энергоисточниках;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использования торфяного топлива на цементных заводах;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биогазовых установок на очистных сооружениях и полигонах захоронения твердых коммунальных отходов, в сельскохозяйственных организациях, занимающихся производством крупного рогатого скота, свиней и птицы, суммарной электрической мощностью не менее 30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выработки электрической и тепловой энергии за счет использования энергии естественного движения водных потоков, ветра, солнца.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Производство электрической и тепловой энергии с использованием энергии воды, ветра и солнца будет осуществляться за счет: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сооружения новых гидроэлектростанций суммарной электрической мощностью около 80 МВт, в том числе восстановления ранее выведенных из эксплуатации малых гидроэлектростанций;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внедрения фотоэлектрических станций суммарной электрической мощностью не менее 250 МВт и отдельных фотоэлектрических модулей для электроснабжения обособленного потребляющего оборудования;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увеличения использования гелиоводонагревателей и различных гелиоустановок для интенсификации процессов сушки продукции и подогрева воды в сельскохозяйственном производстве и для бытовых целей;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ввода в эксплуатацию ветроэнергетических установок суммарной электрической мощностью не менее 200 МВт;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реализации комплексного подхода при энергоснабжении агрогородков за счет использования местных ТЭР, в том числе ВИЭ;</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отработки технологий комбинированного использования ВИЭ, а также технологий компенсации неравномерности выдачи мощности генерирующими объектами на основе энергии ветра и солнца;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увеличения использования отечественных материалов и оборудования при внедрении ВИЭ в целях снижения стоимости их строительства и повышения эффективности функционирования;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нормативной правовой, технической и методической документации в области использования местных ТЭР, в том числе ВИЭ;</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доступности информации о формировании и реализации мероприятий по развитию возобновляемой энергетики.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Конкретные мероприятия, обеспечивающие увеличение доли местных ТЭР в КПТ, в том числе доли ВИЭ в КПТ, в объемах согласно </w:t>
      </w:r>
      <w:hyperlink r:id="rId29" w:anchor="Прил_7_Утв_1"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xml:space="preserve">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r w:rsidR="00B67A41">
        <w:rPr>
          <w:rFonts w:ascii="Times New Roman" w:hAnsi="Times New Roman" w:cs="Times New Roman"/>
          <w:color w:val="000000"/>
          <w:sz w:val="24"/>
          <w:szCs w:val="24"/>
        </w:rPr>
        <w:pict>
          <v:shape id="_x0000_i1058" type="#_x0000_t75" style="width:7.5pt;height:7.5pt">
            <v:imagedata r:id="rId7" o:title=""/>
          </v:shape>
        </w:pic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1" w:name="CA0_ГСП__1_РЗ_III_3_ГЛ_13_14CN__chapter_"/>
      <w:bookmarkEnd w:id="21"/>
      <w:r>
        <w:rPr>
          <w:rFonts w:ascii="Times New Roman" w:hAnsi="Times New Roman" w:cs="Times New Roman"/>
          <w:b/>
          <w:color w:val="000000"/>
          <w:sz w:val="24"/>
          <w:szCs w:val="24"/>
        </w:rPr>
        <w:t>ГЛАВА 13</w:t>
      </w:r>
      <w:r>
        <w:rPr>
          <w:rFonts w:ascii="Times New Roman" w:hAnsi="Times New Roman" w:cs="Times New Roman"/>
          <w:b/>
          <w:color w:val="000000"/>
          <w:sz w:val="24"/>
          <w:szCs w:val="24"/>
        </w:rPr>
        <w:br/>
        <w:t>ЗАДАЧА И ЦЕЛЕВЫЕ ПОКАЗАТЕЛИ ПОДПРОГРАММЫ 2</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Задачей подпрограммы 2 является увеличение доли местных ТЭР, в том числе ВИЭ, в валовом потреблении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Целевыми показателями реализации подпрограммы 2 в целом по республике являются: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отношение объема производства (добычи) первичной энергии к валовому потреблению ТЭР – 16 процентов к 2020 году;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отношение объема производства (добычи) первичной энергии из ВИЭ к валовому потреблению ТЭР – 6 процентов к 2020 году.</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целевых показателей производится по следующим формулам: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B67A4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59" type="#_x0000_t75" style="width:231.75pt;height:36.75pt">
            <v:imagedata r:id="rId30" o:title=""/>
          </v:shape>
        </w:pict>
      </w:r>
      <w:r w:rsidR="00167A62">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I</w:t>
      </w:r>
      <w:r>
        <w:rPr>
          <w:rFonts w:ascii="Times New Roman" w:hAnsi="Times New Roman" w:cs="Times New Roman"/>
          <w:color w:val="000000"/>
          <w:sz w:val="24"/>
          <w:szCs w:val="24"/>
          <w:vertAlign w:val="subscript"/>
        </w:rPr>
        <w:t xml:space="preserve">1 </w:t>
      </w:r>
      <w:r>
        <w:rPr>
          <w:rFonts w:ascii="Times New Roman" w:hAnsi="Times New Roman" w:cs="Times New Roman"/>
          <w:color w:val="000000"/>
          <w:sz w:val="24"/>
          <w:szCs w:val="24"/>
        </w:rPr>
        <w:t xml:space="preserve"> – отношение объема производства (добычи) первичной энергии к валовому потреблению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 отношение объема производства (добычи) первичной энергии из ВИЭ к валовому потреблению ТЭР;</w:t>
      </w:r>
    </w:p>
    <w:p w:rsidR="00167A62" w:rsidRDefault="00B67A4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0" type="#_x0000_t75" style="width:33pt;height:18.75pt">
            <v:imagedata r:id="rId31" o:title=""/>
          </v:shape>
        </w:pict>
      </w:r>
      <w:r w:rsidR="00167A62">
        <w:rPr>
          <w:rFonts w:ascii="Times New Roman" w:hAnsi="Times New Roman" w:cs="Times New Roman"/>
          <w:color w:val="000000"/>
          <w:sz w:val="24"/>
          <w:szCs w:val="24"/>
        </w:rPr>
        <w:t xml:space="preserve"> – объем производства (добычи) первичной энергии (с учетом электроэнергии, выработанной на Белорусской АЭС), тыс. т.у.т.;</w:t>
      </w:r>
    </w:p>
    <w:p w:rsidR="00167A62" w:rsidRDefault="00B67A4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1" type="#_x0000_t75" style="width:36.75pt;height:18.75pt">
            <v:imagedata r:id="rId32" o:title=""/>
          </v:shape>
        </w:pict>
      </w:r>
      <w:r w:rsidR="00167A62">
        <w:rPr>
          <w:rFonts w:ascii="Times New Roman" w:hAnsi="Times New Roman" w:cs="Times New Roman"/>
          <w:color w:val="000000"/>
          <w:sz w:val="24"/>
          <w:szCs w:val="24"/>
        </w:rPr>
        <w:t xml:space="preserve"> – объем валового потребления ТЭР, тыс. т.у.т.;</w:t>
      </w:r>
    </w:p>
    <w:p w:rsidR="00167A62" w:rsidRDefault="00B67A4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2" type="#_x0000_t75" style="width:49.5pt;height:18.75pt">
            <v:imagedata r:id="rId33" o:title=""/>
          </v:shape>
        </w:pict>
      </w:r>
      <w:r w:rsidR="00167A62">
        <w:rPr>
          <w:rFonts w:ascii="Times New Roman" w:hAnsi="Times New Roman" w:cs="Times New Roman"/>
          <w:color w:val="000000"/>
          <w:sz w:val="24"/>
          <w:szCs w:val="24"/>
        </w:rPr>
        <w:t xml:space="preserve"> – объем производства (добычи) первичной энергии из ВИЭ, тыс. т.у.т.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решения задачи подпрограммы 2 с учетом достигнутых в 2015 году результатов работы по увеличению использования местных ТЭР для республиканских органов государственного управления на 2016–2020 годы определены целевые показатели в соответствии с </w:t>
      </w:r>
      <w:hyperlink r:id="rId34" w:anchor="Прил_7_Утв_1" w:history="1">
        <w:r>
          <w:rPr>
            <w:rFonts w:ascii="Times New Roman" w:hAnsi="Times New Roman" w:cs="Times New Roman"/>
            <w:color w:val="0000FF"/>
            <w:sz w:val="24"/>
            <w:szCs w:val="24"/>
          </w:rPr>
          <w:t>приложением 7</w:t>
        </w:r>
      </w:hyperlink>
      <w:r>
        <w:rPr>
          <w:rFonts w:ascii="Times New Roman" w:hAnsi="Times New Roman" w:cs="Times New Roman"/>
          <w:color w:val="000000"/>
          <w:sz w:val="24"/>
          <w:szCs w:val="24"/>
        </w:rPr>
        <w:t xml:space="preserve"> к Государственной программе по доле местных ТЭР в </w:t>
      </w:r>
      <w:r>
        <w:rPr>
          <w:rFonts w:ascii="Times New Roman" w:hAnsi="Times New Roman" w:cs="Times New Roman"/>
          <w:color w:val="000000"/>
          <w:sz w:val="24"/>
          <w:szCs w:val="24"/>
        </w:rPr>
        <w:lastRenderedPageBreak/>
        <w:t>КПТ, в том числе ВИЭ в КПТ, обеспечивающие необходимое увеличение доли местных ТЭР в валовом потреблении ТЭР и ВИЭ в валовом потреблении ТЭР республики.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безусловного выполнения установленного Государственной программой сводного целевого показателя местных ТЭР в валовом потреблении ТЭР при необходимости возможна корректировка целевых показателей подпрограммы 2 на очередной год с учетом достигнутых результатов реализации Государственной программы.</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2" w:name="CA0_ГСП__1_РЗ_III_3_ГЛ_14_15CN__chapter_"/>
      <w:bookmarkEnd w:id="22"/>
      <w:r>
        <w:rPr>
          <w:rFonts w:ascii="Times New Roman" w:hAnsi="Times New Roman" w:cs="Times New Roman"/>
          <w:b/>
          <w:color w:val="000000"/>
          <w:sz w:val="24"/>
          <w:szCs w:val="24"/>
        </w:rPr>
        <w:t>ГЛАВА 14</w:t>
      </w:r>
      <w:r>
        <w:rPr>
          <w:rFonts w:ascii="Times New Roman" w:hAnsi="Times New Roman" w:cs="Times New Roman"/>
          <w:b/>
          <w:color w:val="000000"/>
          <w:sz w:val="24"/>
          <w:szCs w:val="24"/>
        </w:rPr>
        <w:br/>
        <w:t>ФИНАНСОВОЕ ОБЕСПЕЧЕНИЕ ПОДПРОГРАММЫ 2</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Источниками финансирования подпрограммы 2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подпрограммы 2 и источники их финансирования приведены в общем комплексе энергосберегающих мероприятий Государственной программы, определенном в </w:t>
      </w:r>
      <w:hyperlink r:id="rId35" w:anchor="Прил_5_Утв_1" w:history="1">
        <w:r>
          <w:rPr>
            <w:rFonts w:ascii="Times New Roman" w:hAnsi="Times New Roman" w:cs="Times New Roman"/>
            <w:color w:val="0000FF"/>
            <w:sz w:val="24"/>
            <w:szCs w:val="24"/>
          </w:rPr>
          <w:t>приложении 5</w:t>
        </w:r>
      </w:hyperlink>
      <w:r>
        <w:rPr>
          <w:rFonts w:ascii="Times New Roman" w:hAnsi="Times New Roman" w:cs="Times New Roman"/>
          <w:color w:val="000000"/>
          <w:sz w:val="24"/>
          <w:szCs w:val="24"/>
        </w:rPr>
        <w:t xml:space="preserve"> к Государственной программе.</w:t>
      </w:r>
      <w:r w:rsidR="00B67A41">
        <w:rPr>
          <w:rFonts w:ascii="Times New Roman" w:hAnsi="Times New Roman" w:cs="Times New Roman"/>
          <w:color w:val="000000"/>
          <w:sz w:val="24"/>
          <w:szCs w:val="24"/>
        </w:rPr>
        <w:pict>
          <v:shape id="_x0000_i1063"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на очередной финансовый год уточняются после утверждения бюджета.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финансового обеспечения конкретных мероприятий, реализация которых направлена на выполнение задачи подпрограммы 2, определяются при разработке планов деятельности заказчиков на соответствующий финансовый год по выполнению целевых показателей и перечня основных мероприятий в сфере энергосбережения.</w:t>
      </w:r>
      <w:r w:rsidR="00B67A41">
        <w:rPr>
          <w:rFonts w:ascii="Times New Roman" w:hAnsi="Times New Roman" w:cs="Times New Roman"/>
          <w:color w:val="000000"/>
          <w:sz w:val="24"/>
          <w:szCs w:val="24"/>
        </w:rPr>
        <w:pict>
          <v:shape id="_x0000_i1064" type="#_x0000_t75" style="width:7.5pt;height:7.5pt">
            <v:imagedata r:id="rId7" o:title=""/>
          </v:shape>
        </w:pic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3" w:name="CA0_ГСП__1_РЗ_III_3_ГЛ_15_16CN__chapter_"/>
      <w:bookmarkEnd w:id="23"/>
      <w:r>
        <w:rPr>
          <w:rFonts w:ascii="Times New Roman" w:hAnsi="Times New Roman" w:cs="Times New Roman"/>
          <w:b/>
          <w:color w:val="000000"/>
          <w:sz w:val="24"/>
          <w:szCs w:val="24"/>
        </w:rPr>
        <w:t>ГЛАВА 15</w:t>
      </w:r>
      <w:r>
        <w:rPr>
          <w:rFonts w:ascii="Times New Roman" w:hAnsi="Times New Roman" w:cs="Times New Roman"/>
          <w:b/>
          <w:color w:val="000000"/>
          <w:sz w:val="24"/>
          <w:szCs w:val="24"/>
        </w:rPr>
        <w:br/>
        <w:t>АНАЛИЗ ОСНОВНЫХ РИСКОВ ПРИ ВЫПОЛНЕНИИ ПОДПРОГРАММЫ 2</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выполнении подпрограммы 2 возможно возникновение рисков, обусловленных: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несвоевременным привлечением и (или) использованием финансовых средств;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невыполнением запланированных мероприятий;</w:t>
      </w:r>
      <w:r w:rsidR="00B67A41">
        <w:rPr>
          <w:rFonts w:ascii="Times New Roman" w:hAnsi="Times New Roman" w:cs="Times New Roman"/>
          <w:color w:val="000000"/>
          <w:sz w:val="24"/>
          <w:szCs w:val="24"/>
        </w:rPr>
        <w:pict>
          <v:shape id="_x0000_i1065"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изменением цен (тарифов) на ТЭР;</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изменением климатических условий.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мерами по минимизации рисков являются мониторинг и контроль за реализацией мероприятий, осуществляемые заказчиками подпрограммы 2 на постоянной основе. В целях минимизации возможности возникновения рисков результаты выполнения планов деятельности заказчиков на соответствующий финансовый год по выполнению целевых показателей рассматриваются в Департаменте по энергоэффективности Госстандарта ежеквартально в соответствии с утвержденными графиками.</w:t>
      </w:r>
      <w:r w:rsidR="00B67A41">
        <w:rPr>
          <w:rFonts w:ascii="Times New Roman" w:hAnsi="Times New Roman" w:cs="Times New Roman"/>
          <w:color w:val="000000"/>
          <w:sz w:val="24"/>
          <w:szCs w:val="24"/>
        </w:rPr>
        <w:pict>
          <v:shape id="_x0000_i1066"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Ежегодно при формировании годового отчета по выполненным мероприятиям </w:t>
      </w:r>
      <w:r>
        <w:rPr>
          <w:rFonts w:ascii="Times New Roman" w:hAnsi="Times New Roman" w:cs="Times New Roman"/>
          <w:color w:val="000000"/>
          <w:sz w:val="24"/>
          <w:szCs w:val="24"/>
        </w:rPr>
        <w:lastRenderedPageBreak/>
        <w:t>проводится оценка их эффективности, по результатам которой в установленном порядке вырабатываются при необходимости компенсационные и иные меры.</w:t>
      </w:r>
    </w:p>
    <w:p w:rsidR="00167A62" w:rsidRDefault="00167A62">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4" w:name="CA0_ГСП__1_РЗ_III_3_ГЛ_16_17CN__chapter_"/>
      <w:bookmarkEnd w:id="24"/>
      <w:r>
        <w:rPr>
          <w:rFonts w:ascii="Times New Roman" w:hAnsi="Times New Roman" w:cs="Times New Roman"/>
          <w:b/>
          <w:color w:val="000000"/>
          <w:sz w:val="24"/>
          <w:szCs w:val="24"/>
        </w:rPr>
        <w:t>ГЛАВА 16</w:t>
      </w:r>
      <w:r>
        <w:rPr>
          <w:rFonts w:ascii="Times New Roman" w:hAnsi="Times New Roman" w:cs="Times New Roman"/>
          <w:b/>
          <w:color w:val="000000"/>
          <w:sz w:val="24"/>
          <w:szCs w:val="24"/>
        </w:rPr>
        <w:br/>
        <w:t>ОЦЕНКА ЭФФЕКТИВНОСТИ РЕАЛИЗАЦИИ ПОДПРОГРАММЫ 2</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эффективности реализации подпрограммы 2 проводится ответственным заказчиком ежегодно при формировании годового отчета о ходе выполнения Государственной программы.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оценки эффективности подпрограммы 2 основывается на сравнении фактически достигнутых значений целевых показателей (по официальной статистической информации), характеризующих задачу подпрограммы 2, с их плановыми значениями, содержащимися в </w:t>
      </w:r>
      <w:hyperlink r:id="rId36" w:anchor="Прил_7_Утв_1" w:history="1">
        <w:r>
          <w:rPr>
            <w:rFonts w:ascii="Times New Roman" w:hAnsi="Times New Roman" w:cs="Times New Roman"/>
            <w:color w:val="0000FF"/>
            <w:sz w:val="24"/>
            <w:szCs w:val="24"/>
          </w:rPr>
          <w:t>приложении 7</w:t>
        </w:r>
      </w:hyperlink>
      <w:r>
        <w:rPr>
          <w:rFonts w:ascii="Times New Roman" w:hAnsi="Times New Roman" w:cs="Times New Roman"/>
          <w:color w:val="000000"/>
          <w:sz w:val="24"/>
          <w:szCs w:val="24"/>
        </w:rPr>
        <w:t xml:space="preserve"> к Государственной программе.</w:t>
      </w:r>
      <w:r w:rsidR="00B67A41">
        <w:rPr>
          <w:rFonts w:ascii="Times New Roman" w:hAnsi="Times New Roman" w:cs="Times New Roman"/>
          <w:color w:val="000000"/>
          <w:sz w:val="24"/>
          <w:szCs w:val="24"/>
        </w:rPr>
        <w:pict>
          <v:shape id="_x0000_i1067"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оценки степени решения задачи подпрограммы 2 определяется степень достижения планового значения каждого целевого показателя, характеризующего задачу подпрограммы 2.</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достижения планового значения целевого показателя рассчитывается по формуле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СД</w:t>
      </w:r>
      <w:r>
        <w:rPr>
          <w:rFonts w:ascii="Times New Roman" w:hAnsi="Times New Roman" w:cs="Times New Roman"/>
          <w:color w:val="000000"/>
          <w:sz w:val="24"/>
          <w:szCs w:val="24"/>
          <w:vertAlign w:val="subscript"/>
        </w:rPr>
        <w:t xml:space="preserve">п/ппз </w:t>
      </w:r>
      <w:r>
        <w:rPr>
          <w:rFonts w:ascii="Times New Roman" w:hAnsi="Times New Roman" w:cs="Times New Roman"/>
          <w:color w:val="000000"/>
          <w:sz w:val="24"/>
          <w:szCs w:val="24"/>
        </w:rPr>
        <w:t>= ЗП</w:t>
      </w:r>
      <w:r>
        <w:rPr>
          <w:rFonts w:ascii="Times New Roman" w:hAnsi="Times New Roman" w:cs="Times New Roman"/>
          <w:color w:val="000000"/>
          <w:sz w:val="24"/>
          <w:szCs w:val="24"/>
          <w:vertAlign w:val="subscript"/>
        </w:rPr>
        <w:t xml:space="preserve">п/пф </w:t>
      </w:r>
      <w:r>
        <w:rPr>
          <w:rFonts w:ascii="Times New Roman" w:hAnsi="Times New Roman" w:cs="Times New Roman"/>
          <w:color w:val="000000"/>
          <w:sz w:val="24"/>
          <w:szCs w:val="24"/>
        </w:rPr>
        <w:t>/ ЗП</w:t>
      </w:r>
      <w:r>
        <w:rPr>
          <w:rFonts w:ascii="Times New Roman" w:hAnsi="Times New Roman" w:cs="Times New Roman"/>
          <w:color w:val="000000"/>
          <w:sz w:val="24"/>
          <w:szCs w:val="24"/>
          <w:vertAlign w:val="subscript"/>
        </w:rPr>
        <w:t>п/пп</w:t>
      </w:r>
      <w:r>
        <w:rPr>
          <w:rFonts w:ascii="Times New Roman" w:hAnsi="Times New Roman" w:cs="Times New Roman"/>
          <w:color w:val="000000"/>
          <w:sz w:val="24"/>
          <w:szCs w:val="24"/>
        </w:rPr>
        <w:t>,</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СД</w:t>
      </w:r>
      <w:r>
        <w:rPr>
          <w:rFonts w:ascii="Times New Roman" w:hAnsi="Times New Roman" w:cs="Times New Roman"/>
          <w:color w:val="000000"/>
          <w:sz w:val="24"/>
          <w:szCs w:val="24"/>
          <w:vertAlign w:val="subscript"/>
        </w:rPr>
        <w:t xml:space="preserve">п/ппз </w:t>
      </w:r>
      <w:r>
        <w:rPr>
          <w:rFonts w:ascii="Times New Roman" w:hAnsi="Times New Roman" w:cs="Times New Roman"/>
          <w:color w:val="000000"/>
          <w:sz w:val="24"/>
          <w:szCs w:val="24"/>
        </w:rPr>
        <w:t xml:space="preserve"> – степень достижения планового значения целевого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ЗП</w:t>
      </w:r>
      <w:r>
        <w:rPr>
          <w:rFonts w:ascii="Times New Roman" w:hAnsi="Times New Roman" w:cs="Times New Roman"/>
          <w:color w:val="000000"/>
          <w:sz w:val="24"/>
          <w:szCs w:val="24"/>
          <w:vertAlign w:val="subscript"/>
        </w:rPr>
        <w:t xml:space="preserve">п/пф </w:t>
      </w:r>
      <w:r>
        <w:rPr>
          <w:rFonts w:ascii="Times New Roman" w:hAnsi="Times New Roman" w:cs="Times New Roman"/>
          <w:color w:val="000000"/>
          <w:sz w:val="24"/>
          <w:szCs w:val="24"/>
        </w:rPr>
        <w:t xml:space="preserve"> – фактически достигнутое на конец отчетного периода значение целевого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ЗП</w:t>
      </w:r>
      <w:r>
        <w:rPr>
          <w:rFonts w:ascii="Times New Roman" w:hAnsi="Times New Roman" w:cs="Times New Roman"/>
          <w:color w:val="000000"/>
          <w:sz w:val="24"/>
          <w:szCs w:val="24"/>
          <w:vertAlign w:val="subscript"/>
        </w:rPr>
        <w:t xml:space="preserve">п/пп </w:t>
      </w:r>
      <w:r>
        <w:rPr>
          <w:rFonts w:ascii="Times New Roman" w:hAnsi="Times New Roman" w:cs="Times New Roman"/>
          <w:color w:val="000000"/>
          <w:sz w:val="24"/>
          <w:szCs w:val="24"/>
        </w:rPr>
        <w:t xml:space="preserve"> – плановое значение целевого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решения задачи подпрограммы 2 рассчитывается по формуле</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B67A4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68" type="#_x0000_t75" style="width:108.75pt;height:33.75pt">
            <v:imagedata r:id="rId37" o:title=""/>
          </v:shape>
        </w:pict>
      </w:r>
      <w:r w:rsidR="00167A62">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 CP</w:t>
      </w:r>
      <w:r>
        <w:rPr>
          <w:rFonts w:ascii="Times New Roman" w:hAnsi="Times New Roman" w:cs="Times New Roman"/>
          <w:color w:val="000000"/>
          <w:sz w:val="24"/>
          <w:szCs w:val="24"/>
          <w:vertAlign w:val="subscript"/>
        </w:rPr>
        <w:t xml:space="preserve">п/п </w:t>
      </w:r>
      <w:r>
        <w:rPr>
          <w:rFonts w:ascii="Times New Roman" w:hAnsi="Times New Roman" w:cs="Times New Roman"/>
          <w:color w:val="000000"/>
          <w:sz w:val="24"/>
          <w:szCs w:val="24"/>
        </w:rPr>
        <w:t xml:space="preserve"> – степень решения задачи подпрограммы 2;</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СД</w:t>
      </w:r>
      <w:r>
        <w:rPr>
          <w:rFonts w:ascii="Times New Roman" w:hAnsi="Times New Roman" w:cs="Times New Roman"/>
          <w:color w:val="000000"/>
          <w:sz w:val="24"/>
          <w:szCs w:val="24"/>
          <w:vertAlign w:val="subscript"/>
        </w:rPr>
        <w:t>п/ппз</w:t>
      </w:r>
      <w:r>
        <w:rPr>
          <w:rFonts w:ascii="Times New Roman" w:hAnsi="Times New Roman" w:cs="Times New Roman"/>
          <w:color w:val="000000"/>
          <w:sz w:val="24"/>
          <w:szCs w:val="24"/>
        </w:rPr>
        <w:t xml:space="preserve"> – степень достижения планового значения целевого показателя;</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N – количество целевых показателей.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значение СР</w:t>
      </w:r>
      <w:r>
        <w:rPr>
          <w:rFonts w:ascii="Times New Roman" w:hAnsi="Times New Roman" w:cs="Times New Roman"/>
          <w:color w:val="000000"/>
          <w:sz w:val="24"/>
          <w:szCs w:val="24"/>
          <w:vertAlign w:val="subscript"/>
        </w:rPr>
        <w:t xml:space="preserve">п/п </w:t>
      </w:r>
      <w:r>
        <w:rPr>
          <w:rFonts w:ascii="Times New Roman" w:hAnsi="Times New Roman" w:cs="Times New Roman"/>
          <w:color w:val="000000"/>
          <w:sz w:val="24"/>
          <w:szCs w:val="24"/>
        </w:rPr>
        <w:t>больше 1, то при расчете степени решения задачи подпрограммы 2 оно принимается равным 1.</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реализации подпрограммы 2 оценивается как высокая, если значение СР</w:t>
      </w:r>
      <w:r>
        <w:rPr>
          <w:rFonts w:ascii="Times New Roman" w:hAnsi="Times New Roman" w:cs="Times New Roman"/>
          <w:color w:val="000000"/>
          <w:sz w:val="24"/>
          <w:szCs w:val="24"/>
          <w:vertAlign w:val="subscript"/>
        </w:rPr>
        <w:t xml:space="preserve">п/п </w:t>
      </w:r>
      <w:r>
        <w:rPr>
          <w:rFonts w:ascii="Times New Roman" w:hAnsi="Times New Roman" w:cs="Times New Roman"/>
          <w:color w:val="000000"/>
          <w:sz w:val="24"/>
          <w:szCs w:val="24"/>
        </w:rPr>
        <w:t>составляет не менее 0,9, как средняя – если значение СР</w:t>
      </w:r>
      <w:r>
        <w:rPr>
          <w:rFonts w:ascii="Times New Roman" w:hAnsi="Times New Roman" w:cs="Times New Roman"/>
          <w:color w:val="000000"/>
          <w:sz w:val="24"/>
          <w:szCs w:val="24"/>
          <w:vertAlign w:val="subscript"/>
        </w:rPr>
        <w:t>п/п</w:t>
      </w:r>
      <w:r>
        <w:rPr>
          <w:rFonts w:ascii="Times New Roman" w:hAnsi="Times New Roman" w:cs="Times New Roman"/>
          <w:color w:val="000000"/>
          <w:sz w:val="24"/>
          <w:szCs w:val="24"/>
        </w:rPr>
        <w:t xml:space="preserve"> составляет не менее 0,8, как удовлетворительная – если значение СР</w:t>
      </w:r>
      <w:r>
        <w:rPr>
          <w:rFonts w:ascii="Times New Roman" w:hAnsi="Times New Roman" w:cs="Times New Roman"/>
          <w:color w:val="000000"/>
          <w:sz w:val="24"/>
          <w:szCs w:val="24"/>
          <w:vertAlign w:val="subscript"/>
        </w:rPr>
        <w:t xml:space="preserve">п/п </w:t>
      </w:r>
      <w:r>
        <w:rPr>
          <w:rFonts w:ascii="Times New Roman" w:hAnsi="Times New Roman" w:cs="Times New Roman"/>
          <w:color w:val="000000"/>
          <w:sz w:val="24"/>
          <w:szCs w:val="24"/>
        </w:rPr>
        <w:t>составляет не менее 0,67.</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остальных случаях эффективность реализации подпрограммы 2 признается неудовлетворительной.</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rsidP="00167A62">
      <w:pPr>
        <w:rPr>
          <w:rFonts w:ascii="Times New Roman" w:hAnsi="Times New Roman" w:cs="Times New Roman"/>
          <w:color w:val="000000"/>
          <w:sz w:val="24"/>
          <w:szCs w:val="24"/>
        </w:rPr>
        <w:sectPr w:rsidR="00167A62" w:rsidSect="00E81203">
          <w:headerReference w:type="default" r:id="rId38"/>
          <w:footerReference w:type="default" r:id="rId39"/>
          <w:pgSz w:w="11906" w:h="16838"/>
          <w:pgMar w:top="1134" w:right="850" w:bottom="1134" w:left="1701" w:header="708" w:footer="708" w:gutter="0"/>
          <w:cols w:space="708"/>
          <w:docGrid w:linePitch="360"/>
        </w:sectPr>
      </w:pPr>
      <w:r>
        <w:rPr>
          <w:rFonts w:ascii="Times New Roman" w:hAnsi="Times New Roman" w:cs="Times New Roman"/>
          <w:color w:val="000000"/>
          <w:sz w:val="24"/>
          <w:szCs w:val="24"/>
        </w:rPr>
        <w:br w:type="page"/>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11921"/>
        <w:gridCol w:w="2649"/>
      </w:tblGrid>
      <w:tr w:rsidR="00167A62">
        <w:trPr>
          <w:trHeight w:val="240"/>
        </w:trPr>
        <w:tc>
          <w:tcPr>
            <w:tcW w:w="4050" w:type="pct"/>
            <w:tcBorders>
              <w:top w:val="nil"/>
              <w:left w:val="nil"/>
              <w:bottom w:val="nil"/>
              <w:right w:val="nil"/>
            </w:tcBorders>
          </w:tcPr>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25" w:name="CA0_ГСП__1_ПРЛ_1_1CN__прил_1_утв_1"/>
            <w:bookmarkEnd w:id="25"/>
            <w:r>
              <w:rPr>
                <w:rFonts w:ascii="Times New Roman" w:hAnsi="Times New Roman" w:cs="Times New Roman"/>
                <w:color w:val="000000"/>
                <w:sz w:val="24"/>
                <w:szCs w:val="24"/>
              </w:rPr>
              <w:t>Приложение 1</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на 2016–2020 годы</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30.12.2016 № 1128)</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26" w:name="CN__заг_прил_1_утв_1"/>
      <w:bookmarkEnd w:id="26"/>
      <w:r>
        <w:rPr>
          <w:rFonts w:ascii="Times New Roman" w:hAnsi="Times New Roman" w:cs="Times New Roman"/>
          <w:b/>
          <w:color w:val="000000"/>
          <w:sz w:val="24"/>
          <w:szCs w:val="24"/>
        </w:rPr>
        <w:t>Ресурсное обеспечение реализации общего комплекса энергосберегающих мероприятий Государственной программы</w:t>
      </w:r>
    </w:p>
    <w:tbl>
      <w:tblPr>
        <w:tblW w:w="5000" w:type="pct"/>
        <w:tblInd w:w="-15" w:type="dxa"/>
        <w:tblLayout w:type="fixed"/>
        <w:tblCellMar>
          <w:left w:w="0" w:type="dxa"/>
          <w:right w:w="0" w:type="dxa"/>
        </w:tblCellMar>
        <w:tblLook w:val="0000" w:firstRow="0" w:lastRow="0" w:firstColumn="0" w:lastColumn="0" w:noHBand="0" w:noVBand="0"/>
      </w:tblPr>
      <w:tblGrid>
        <w:gridCol w:w="2040"/>
        <w:gridCol w:w="3643"/>
        <w:gridCol w:w="1457"/>
        <w:gridCol w:w="1457"/>
        <w:gridCol w:w="1311"/>
        <w:gridCol w:w="1311"/>
        <w:gridCol w:w="1457"/>
        <w:gridCol w:w="1894"/>
      </w:tblGrid>
      <w:tr w:rsidR="00167A62">
        <w:trPr>
          <w:trHeight w:val="240"/>
        </w:trPr>
        <w:tc>
          <w:tcPr>
            <w:tcW w:w="700" w:type="pct"/>
            <w:vMerge w:val="restar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задачи</w:t>
            </w:r>
          </w:p>
        </w:tc>
        <w:tc>
          <w:tcPr>
            <w:tcW w:w="1250" w:type="pct"/>
            <w:vMerge w:val="restar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w:t>
            </w:r>
          </w:p>
        </w:tc>
        <w:tc>
          <w:tcPr>
            <w:tcW w:w="3000" w:type="pct"/>
            <w:gridSpan w:val="6"/>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рублей</w:t>
            </w:r>
          </w:p>
        </w:tc>
      </w:tr>
      <w:tr w:rsidR="00167A62">
        <w:trPr>
          <w:trHeight w:val="240"/>
        </w:trPr>
        <w:tc>
          <w:tcPr>
            <w:tcW w:w="315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64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500" w:type="pct"/>
            <w:gridSpan w:val="5"/>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167A62">
        <w:trPr>
          <w:trHeight w:val="240"/>
        </w:trPr>
        <w:tc>
          <w:tcPr>
            <w:tcW w:w="315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64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250" w:type="dxa"/>
            <w:vMerge/>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2016 </w:t>
            </w: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2017 </w:t>
            </w: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2018 </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2019 </w:t>
            </w:r>
          </w:p>
        </w:tc>
        <w:tc>
          <w:tcPr>
            <w:tcW w:w="500" w:type="pct"/>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2020 </w:t>
            </w:r>
          </w:p>
        </w:tc>
      </w:tr>
      <w:tr w:rsidR="00167A62">
        <w:trPr>
          <w:trHeight w:val="240"/>
        </w:trPr>
        <w:tc>
          <w:tcPr>
            <w:tcW w:w="5000" w:type="pct"/>
            <w:gridSpan w:val="8"/>
            <w:tcBorders>
              <w:top w:val="single" w:sz="6" w:space="0" w:color="000000"/>
              <w:left w:val="nil"/>
              <w:bottom w:val="nil"/>
              <w:right w:val="nil"/>
            </w:tcBorders>
            <w:vAlign w:val="center"/>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 «Повышение энергоэффективности»</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объема экономии ТЭР от реализации энергосберегающих мероприятий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10 168 360 000,0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1 667 840 000,0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1 876 850 000,0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2 035 300 000,0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2 207 020 000,0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2 381 350 000,0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270 860 000,0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44 670 000,0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49 340 000,0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63 450 000,0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1</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199 414 200,0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31 390 000,0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39 136 000,0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39 108 200,0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43 760 000,0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46 020 000,0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63 255 800,0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11 880 000,0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8 664 000,0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12 641 800,0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15 580 000,0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8 190 000,0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1 850 000,0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бюджеты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1 439 360 000,0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246 350 000,0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281 030 000,0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293 260 000,0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300 820 000,0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317 900 000,0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из них средства на финансирование капитальных вложений</w:t>
            </w:r>
            <w:r>
              <w:rPr>
                <w:rFonts w:ascii="Times New Roman" w:hAnsi="Times New Roman" w:cs="Times New Roman"/>
                <w:color w:val="000000"/>
                <w:sz w:val="24"/>
                <w:szCs w:val="24"/>
                <w:vertAlign w:val="superscript"/>
              </w:rPr>
              <w:t>2</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1 439 360 000,0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246 350 000,0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281 030 000,0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293 260 000,0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300 820 000,0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317 900 000,0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внебюджетных фондов (инвестиционные фонды)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82 385 000,0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16 745 000,0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15 700 000,0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18 480 000,0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3</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4 742 375 000,0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767 670 000,0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862 955 000,0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946 600 000,0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1 036 400 000,0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1 128 750 000,0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2 891 290 000,0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473 580 000,0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530 470 000,0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576 950 000,0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680 290 000,0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кредиты банков</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2 891 290 000,0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473 580 000,0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530 470 000,0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576 950 000,0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680 290 000,0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4</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742 090 000,0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121 110 000,0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136 310 000,0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149 390 000,0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162 800 000,0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172 480 000,0</w:t>
            </w:r>
          </w:p>
        </w:tc>
      </w:tr>
      <w:tr w:rsidR="00167A62">
        <w:trPr>
          <w:trHeight w:val="240"/>
        </w:trPr>
        <w:tc>
          <w:tcPr>
            <w:tcW w:w="5000" w:type="pct"/>
            <w:gridSpan w:val="8"/>
            <w:tcBorders>
              <w:top w:val="nil"/>
              <w:left w:val="nil"/>
              <w:bottom w:val="nil"/>
              <w:right w:val="nil"/>
            </w:tcBorders>
            <w:vAlign w:val="center"/>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Подпрограмма 2 «Развитие использования местных ТЭР, в том числе возобновляемых источников»</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доли местных ТЭР, в том числе возобновляемых источников, в валовом потреблении ТЭР</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895 900 000,0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140 320 000,0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153 450 000,0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204 980 000,0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214 150 000,0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128 710 000,0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21 670 000,0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24 380 000,0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26 500 000,0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29 160 000,0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государственных целевых бюджетных фондов (инновационный фонд)</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1</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104 921 800,0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14 520 000,0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20 860 000,0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21 871 800,0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22 910 000,0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24 760 000,0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19 988 200,0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3 350 000,0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3 520 000,0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4 628 200,0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4 400 000,0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ранее на возвратной основе</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бюджеты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207 840 000,0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24 640 000,0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23 470 000,0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41 060 000,0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60 180 000,0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58 490 000,0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них: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строительства энергоисточников на местных ТЭР</w:t>
            </w:r>
            <w:r>
              <w:rPr>
                <w:rFonts w:ascii="Times New Roman" w:hAnsi="Times New Roman" w:cs="Times New Roman"/>
                <w:color w:val="000000"/>
                <w:sz w:val="24"/>
                <w:szCs w:val="24"/>
                <w:vertAlign w:val="superscript"/>
              </w:rPr>
              <w:t>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164 322 239,15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24 640 000,0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17 894 827,95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31 306 459,51</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45 884 625,84</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44 596 325,85</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внебюджетных фондов (инвестиционные фонды)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3</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258 250 000,0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43 360 000,0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48 770 000,0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58 320 000,0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40 700 000,0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48 670 000,0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кредиты банков</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40 700 000,0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48 670 000,0</w:t>
            </w:r>
          </w:p>
        </w:tc>
      </w:tr>
      <w:tr w:rsidR="00167A62">
        <w:trPr>
          <w:trHeight w:val="240"/>
        </w:trPr>
        <w:tc>
          <w:tcPr>
            <w:tcW w:w="7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4</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85 900 000,0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14 390 000,0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16 130 000,0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17 670 000,0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18 200 000,0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19 510 000,0</w:t>
            </w:r>
          </w:p>
        </w:tc>
      </w:tr>
      <w:tr w:rsidR="00167A62">
        <w:trPr>
          <w:trHeight w:val="240"/>
        </w:trPr>
        <w:tc>
          <w:tcPr>
            <w:tcW w:w="7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11 064 260 000,0</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1 808 160 000,0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2 030 300 000,0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2 218 300 000,0</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2 412 000 000,0</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2 595 500 000,0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399 570 000,0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66 340 000,0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73 720 000,0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79 900 000,0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92 610 000,0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государственных целевых бюджетных фондов (инновационный фонд)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на </w:t>
            </w:r>
            <w:r>
              <w:rPr>
                <w:rFonts w:ascii="Times New Roman" w:hAnsi="Times New Roman" w:cs="Times New Roman"/>
                <w:color w:val="000000"/>
                <w:sz w:val="24"/>
                <w:szCs w:val="24"/>
              </w:rPr>
              <w:lastRenderedPageBreak/>
              <w:t>финансирование капитальных вложений</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304 336 000,0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45 910 000,0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59 996 000,0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60 980 000,0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66 670 000,0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70 780 000,0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83 244 000,0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15 230 000,0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12 184 000,0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17 270 000,0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18 580 000,0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19 980 000,0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ранее на возвратной основе</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8 190 000,0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1 850 000,0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бюджеты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1 647 200 000,0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270 990 000,0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304 500 000,0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334 320 000,0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361 000 000,0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376 390 000,0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них: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строительства энергоисточников на местных ТЭР</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1 603 682 239,15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270 990 000,0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298 924 827,95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324 566 459,51</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346 704 625,84</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362 496 325,85</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внебюджетных фондов (инвестиционные фонды)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82 385 000,0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16 745 000,0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15 700 000,0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18 480 000,0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3</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5 000 625 </w:t>
            </w:r>
            <w:r>
              <w:rPr>
                <w:rFonts w:ascii="Times New Roman" w:hAnsi="Times New Roman" w:cs="Times New Roman"/>
                <w:color w:val="000000"/>
                <w:sz w:val="24"/>
                <w:szCs w:val="24"/>
              </w:rPr>
              <w:lastRenderedPageBreak/>
              <w:t>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811 030 000,0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911 725 </w:t>
            </w:r>
            <w:r>
              <w:rPr>
                <w:rFonts w:ascii="Times New Roman" w:hAnsi="Times New Roman" w:cs="Times New Roman"/>
                <w:color w:val="000000"/>
                <w:sz w:val="24"/>
                <w:szCs w:val="24"/>
              </w:rPr>
              <w:lastRenderedPageBreak/>
              <w:t>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1 000 000 </w:t>
            </w:r>
            <w:r>
              <w:rPr>
                <w:rFonts w:ascii="Times New Roman" w:hAnsi="Times New Roman" w:cs="Times New Roman"/>
                <w:color w:val="000000"/>
                <w:sz w:val="24"/>
                <w:szCs w:val="24"/>
              </w:rPr>
              <w:lastRenderedPageBreak/>
              <w:t>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1 090 800 </w:t>
            </w:r>
            <w:r>
              <w:rPr>
                <w:rFonts w:ascii="Times New Roman" w:hAnsi="Times New Roman" w:cs="Times New Roman"/>
                <w:color w:val="000000"/>
                <w:sz w:val="24"/>
                <w:szCs w:val="24"/>
              </w:rPr>
              <w:lastRenderedPageBreak/>
              <w:t>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1 187 070 000,0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кредитные ресурсы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3 106 490 000,0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509 840 000,0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571 170 000,0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621 320 000,0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728 960 000,0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кредиты банков</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3 106 490 000,0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509 840 000,0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571 170 000,0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621 320 000,0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728 960 000,0</w:t>
            </w:r>
          </w:p>
        </w:tc>
      </w:tr>
      <w:tr w:rsidR="00167A62">
        <w:trPr>
          <w:trHeight w:val="240"/>
        </w:trPr>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4</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827 990 000,0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135 500 000,0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152 440 000,0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167 060 000,0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191 990 000,0</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Указываются средства на финансирование капитальных вложений в рамках средств, предусмотренных на содержание государственных органов.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Объемы финансирования будут ежегодно уточняться, выделение бюджетных средств не предусматривается.</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Средства, предусматриваемые для финансирования строительства энергогенерирующих мощностей на местных ТЭР, переданные из финансового обеспечения </w:t>
      </w:r>
      <w:hyperlink r:id="rId40"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«Комфортное жилье и благоприятная среда» на 2016–2020 годы, утвержденной постановлением Совета Министров Республики Беларусь от 21 апреля 2016 г. № 326 (Национальный правовой Интернет-портал Республики Беларусь, 19.05.2016, 5/42062), по решению постоянной межведомственной комиссии по государственным программам.</w:t>
      </w:r>
      <w:r w:rsidR="00B67A41">
        <w:rPr>
          <w:rFonts w:ascii="Times New Roman" w:hAnsi="Times New Roman" w:cs="Times New Roman"/>
          <w:color w:val="000000"/>
          <w:sz w:val="24"/>
          <w:szCs w:val="24"/>
        </w:rPr>
        <w:pict>
          <v:shape id="_x0000_i1069" type="#_x0000_t75" style="width:7.5pt;height:7.5pt">
            <v:imagedata r:id="rId7" o:title=""/>
          </v:shape>
        </w:pic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1921"/>
        <w:gridCol w:w="2649"/>
      </w:tblGrid>
      <w:tr w:rsidR="00167A62" w:rsidTr="00167A62">
        <w:trPr>
          <w:trHeight w:val="240"/>
        </w:trPr>
        <w:tc>
          <w:tcPr>
            <w:tcW w:w="4091" w:type="pct"/>
            <w:tcBorders>
              <w:top w:val="nil"/>
              <w:left w:val="nil"/>
              <w:bottom w:val="nil"/>
              <w:right w:val="nil"/>
            </w:tcBorders>
          </w:tcPr>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909"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27" w:name="CA0_ГСП__1_ПРЛ_2_3CN__прил_2_утв_1"/>
            <w:bookmarkEnd w:id="27"/>
            <w:r>
              <w:rPr>
                <w:rFonts w:ascii="Times New Roman" w:hAnsi="Times New Roman" w:cs="Times New Roman"/>
                <w:color w:val="000000"/>
                <w:sz w:val="24"/>
                <w:szCs w:val="24"/>
              </w:rPr>
              <w:t>Приложение 2</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на 2016–2020 годы</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30.12.2016 № 1128)</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28" w:name="CN__заг_прил_2_утв_1"/>
      <w:bookmarkEnd w:id="28"/>
      <w:r>
        <w:rPr>
          <w:rFonts w:ascii="Times New Roman" w:hAnsi="Times New Roman" w:cs="Times New Roman"/>
          <w:b/>
          <w:color w:val="000000"/>
          <w:sz w:val="24"/>
          <w:szCs w:val="24"/>
        </w:rPr>
        <w:t>Финансовое обеспечение Государственной программы</w:t>
      </w:r>
    </w:p>
    <w:tbl>
      <w:tblPr>
        <w:tblW w:w="5000" w:type="pct"/>
        <w:tblInd w:w="-15" w:type="dxa"/>
        <w:tblLayout w:type="fixed"/>
        <w:tblCellMar>
          <w:left w:w="0" w:type="dxa"/>
          <w:right w:w="0" w:type="dxa"/>
        </w:tblCellMar>
        <w:tblLook w:val="0000" w:firstRow="0" w:lastRow="0" w:firstColumn="0" w:lastColumn="0" w:noHBand="0" w:noVBand="0"/>
      </w:tblPr>
      <w:tblGrid>
        <w:gridCol w:w="1894"/>
        <w:gridCol w:w="3351"/>
        <w:gridCol w:w="1457"/>
        <w:gridCol w:w="1457"/>
        <w:gridCol w:w="1457"/>
        <w:gridCol w:w="1457"/>
        <w:gridCol w:w="1457"/>
        <w:gridCol w:w="2040"/>
      </w:tblGrid>
      <w:tr w:rsidR="00167A62">
        <w:trPr>
          <w:trHeight w:val="240"/>
        </w:trPr>
        <w:tc>
          <w:tcPr>
            <w:tcW w:w="650" w:type="pct"/>
            <w:vMerge w:val="restar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задачи</w:t>
            </w:r>
          </w:p>
        </w:tc>
        <w:tc>
          <w:tcPr>
            <w:tcW w:w="1150" w:type="pct"/>
            <w:vMerge w:val="restar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w:t>
            </w:r>
          </w:p>
        </w:tc>
        <w:tc>
          <w:tcPr>
            <w:tcW w:w="3150" w:type="pct"/>
            <w:gridSpan w:val="6"/>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рублей</w:t>
            </w:r>
          </w:p>
        </w:tc>
      </w:tr>
      <w:tr w:rsidR="00167A62">
        <w:trPr>
          <w:trHeight w:val="240"/>
        </w:trPr>
        <w:tc>
          <w:tcPr>
            <w:tcW w:w="291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19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600" w:type="pct"/>
            <w:gridSpan w:val="5"/>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167A62">
        <w:trPr>
          <w:trHeight w:val="240"/>
        </w:trPr>
        <w:tc>
          <w:tcPr>
            <w:tcW w:w="291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19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5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500" w:type="pct"/>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167A62">
        <w:trPr>
          <w:trHeight w:val="240"/>
        </w:trPr>
        <w:tc>
          <w:tcPr>
            <w:tcW w:w="5000" w:type="pct"/>
            <w:gridSpan w:val="8"/>
            <w:tcBorders>
              <w:top w:val="single" w:sz="6" w:space="0" w:color="000000"/>
              <w:left w:val="nil"/>
              <w:bottom w:val="nil"/>
              <w:right w:val="nil"/>
            </w:tcBorders>
            <w:vAlign w:val="center"/>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 «Повышение энергоэффективности»</w:t>
            </w:r>
          </w:p>
        </w:tc>
      </w:tr>
      <w:tr w:rsidR="00167A62">
        <w:trPr>
          <w:trHeight w:val="240"/>
        </w:trPr>
        <w:tc>
          <w:tcPr>
            <w:tcW w:w="65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объема экономии ТЭР от реализации энергосберегающих мероприятий </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8 529 585 800,0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1 390 100 000,0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1 556 684 000,0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1 702 931 800,0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1 862 440 000,0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2 017 430 000,0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71 445 800,0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13 280 000,0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10 204 000,0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14 291 800,0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16 240 000,0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17 430 000,0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на финансирование Государственной </w:t>
            </w:r>
            <w:r>
              <w:rPr>
                <w:rFonts w:ascii="Times New Roman" w:hAnsi="Times New Roman" w:cs="Times New Roman"/>
                <w:color w:val="000000"/>
                <w:sz w:val="24"/>
                <w:szCs w:val="24"/>
              </w:rPr>
              <w:lastRenderedPageBreak/>
              <w:t>программы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63 255 800,0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11 880 000,0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8 664 000,0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12 641 800,0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15 580 000,0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8 190 000,0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1 850 000,0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внебюджетных фондов (инвестиционные фонды)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82 385 000,0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16 745 000,0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15 700 000,0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18 480 000,0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1</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4 742 375 000,0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767 670 000,0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862 955 000,0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946 600 000,0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1 036 400 000,0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1 128 750 000,0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2 891 290 000,0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473 580 000,0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530 470 000,0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576 950 000,0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680 290 000,0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кредиты банков</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2 891 290 000,0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473 580 000,0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530 470 000,0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576 950 000,0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680 290 000,0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2</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742 090 000,0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121 110 000,0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136 310 000,0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149 390 000,0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162 800 000,0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172 480 000,0</w:t>
            </w:r>
          </w:p>
        </w:tc>
      </w:tr>
      <w:tr w:rsidR="00167A62">
        <w:trPr>
          <w:trHeight w:val="240"/>
        </w:trPr>
        <w:tc>
          <w:tcPr>
            <w:tcW w:w="5000" w:type="pct"/>
            <w:gridSpan w:val="8"/>
            <w:tcBorders>
              <w:top w:val="nil"/>
              <w:left w:val="nil"/>
              <w:bottom w:val="nil"/>
              <w:right w:val="nil"/>
            </w:tcBorders>
            <w:vAlign w:val="center"/>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2 «Развитие использования местных ТЭР, в том числе возобновляемых источников»</w:t>
            </w:r>
          </w:p>
        </w:tc>
      </w:tr>
      <w:tr w:rsidR="00167A62">
        <w:trPr>
          <w:trHeight w:val="240"/>
        </w:trPr>
        <w:tc>
          <w:tcPr>
            <w:tcW w:w="65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доли местных ТЭР, в том числе возобновляемых источников, в валовом потреблении ТЭР</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626 655 960,85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101 160 000,0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114 695 172,05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129 821 740,49</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136 185 374,16</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144 793 674,15</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23 788 200,0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7 150 000,0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4 628 200,0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4 400 000,0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государственных целевых бюджетных </w:t>
            </w:r>
            <w:r>
              <w:rPr>
                <w:rFonts w:ascii="Times New Roman" w:hAnsi="Times New Roman" w:cs="Times New Roman"/>
                <w:color w:val="000000"/>
                <w:sz w:val="24"/>
                <w:szCs w:val="24"/>
              </w:rPr>
              <w:lastRenderedPageBreak/>
              <w:t>фондов (инновационный фонд)</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19 988 200,0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3 350 000,0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4 628 200,0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4 400 000,0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местные бюджеты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из них средства на финансирование строительства энергоисточников на местных ТЭР</w:t>
            </w:r>
            <w:r>
              <w:rPr>
                <w:rFonts w:ascii="Times New Roman" w:hAnsi="Times New Roman" w:cs="Times New Roman"/>
                <w:color w:val="000000"/>
                <w:sz w:val="24"/>
                <w:szCs w:val="24"/>
                <w:vertAlign w:val="superscript"/>
              </w:rPr>
              <w:t>3</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внебюджетных фондов (инвестиционные фонды)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1</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258 250 000,0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43 360 000,0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48 770 000,0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58 320 000,0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40 700 000,0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48 670 000,0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кредиты банков</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40 700 000,0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48 670 000,0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2</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85 900 000,0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14 390 000,0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16 130 000,0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17 670 000,0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18 200 000,0</w:t>
            </w:r>
          </w:p>
        </w:tc>
        <w:tc>
          <w:tcPr>
            <w:tcW w:w="5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19 510 000,0</w:t>
            </w:r>
          </w:p>
        </w:tc>
      </w:tr>
      <w:tr w:rsidR="00167A62">
        <w:trPr>
          <w:trHeight w:val="240"/>
        </w:trPr>
        <w:tc>
          <w:tcPr>
            <w:tcW w:w="65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9 156 241 760,85</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1 491 260 000,0</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1 671 379 172,05</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1 832 753 540,49</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1 998 625 374,16</w:t>
            </w:r>
          </w:p>
        </w:tc>
        <w:tc>
          <w:tcPr>
            <w:tcW w:w="5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2 162 223 674,15</w:t>
            </w:r>
          </w:p>
        </w:tc>
      </w:tr>
      <w:tr w:rsidR="00167A62">
        <w:trPr>
          <w:trHeight w:val="240"/>
        </w:trPr>
        <w:tc>
          <w:tcPr>
            <w:tcW w:w="29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9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95 234 000,0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20 430 000,0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13 724 000,0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18 920 000,0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20 330 000,0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21 830 000,0</w:t>
            </w:r>
          </w:p>
        </w:tc>
      </w:tr>
      <w:tr w:rsidR="00167A62">
        <w:trPr>
          <w:trHeight w:val="240"/>
        </w:trPr>
        <w:tc>
          <w:tcPr>
            <w:tcW w:w="29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9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средства государственных целевых бюджетных фондов (инновационный фонд)</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65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83 244 000,0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15 230 000,0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12 184 000,0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17 270 000,0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18 580 000,0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19 980 000,0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ранее на возвратной основе</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8 190 000,0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1 750 000,0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1 850 000,0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бюджеты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из них средства на финансирование строительства энергоисточников на местных ТЭР</w:t>
            </w:r>
            <w:r>
              <w:rPr>
                <w:rFonts w:ascii="Times New Roman" w:hAnsi="Times New Roman" w:cs="Times New Roman"/>
                <w:color w:val="000000"/>
                <w:sz w:val="24"/>
                <w:szCs w:val="24"/>
                <w:vertAlign w:val="superscript"/>
              </w:rPr>
              <w:t>3</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внебюджетных фондов (инвестиционные фонды) </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82 385 000,0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16 745 000,0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15 700 000,0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18 480 000,0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1</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5 000 625 000,0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811 030 000,0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911 725 000,0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1 090 800 000,0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1 187 070 000,0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3 106 490 000,0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509 840 000,0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571 170 000,0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621 320 000,0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728 960 000,0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кредиты банков</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3 106 490 000,0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509 840 000,0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571 170 000,0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621 320 000,0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675 200 000,0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728 960 000,0</w:t>
            </w:r>
          </w:p>
        </w:tc>
      </w:tr>
      <w:tr w:rsidR="00167A62">
        <w:trPr>
          <w:trHeight w:val="240"/>
        </w:trPr>
        <w:tc>
          <w:tcPr>
            <w:tcW w:w="29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2</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827 990 000,0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135 500 000,0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152 440 000,0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167 060 000,0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181 000 000,0</w:t>
            </w:r>
          </w:p>
        </w:tc>
        <w:tc>
          <w:tcPr>
            <w:tcW w:w="5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191 990 000,0</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Объемы финансирования будут ежегодно уточняться, выделение бюджетных средств не предусматривается.</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Средства, предусматриваемые для финансирования строительства энергогенерирующих мощностей на местных ТЭР, переданные из финансового обеспечения </w:t>
      </w:r>
      <w:hyperlink r:id="rId41"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«Комфортное жилье и благоприятная среда» на 2016–2020 годы по решению постоянной межведомственной комиссии по государственным программам.</w:t>
      </w:r>
      <w:r w:rsidR="00B67A41">
        <w:rPr>
          <w:rFonts w:ascii="Times New Roman" w:hAnsi="Times New Roman" w:cs="Times New Roman"/>
          <w:color w:val="000000"/>
          <w:sz w:val="24"/>
          <w:szCs w:val="24"/>
        </w:rPr>
        <w:pict>
          <v:shape id="_x0000_i1070" type="#_x0000_t75" style="width:7.5pt;height:7.5pt">
            <v:imagedata r:id="rId7" o:title=""/>
          </v:shape>
        </w:pic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W w:w="5000" w:type="pct"/>
        <w:tblLayout w:type="fixed"/>
        <w:tblCellMar>
          <w:left w:w="0" w:type="dxa"/>
          <w:right w:w="0" w:type="dxa"/>
        </w:tblCellMar>
        <w:tblLook w:val="0000" w:firstRow="0" w:lastRow="0" w:firstColumn="0" w:lastColumn="0" w:noHBand="0" w:noVBand="0"/>
      </w:tblPr>
      <w:tblGrid>
        <w:gridCol w:w="9712"/>
        <w:gridCol w:w="4858"/>
      </w:tblGrid>
      <w:tr w:rsidR="00167A62" w:rsidTr="00167A62">
        <w:tc>
          <w:tcPr>
            <w:tcW w:w="3333" w:type="pct"/>
            <w:tcBorders>
              <w:top w:val="nil"/>
              <w:left w:val="nil"/>
              <w:bottom w:val="nil"/>
              <w:right w:val="nil"/>
            </w:tcBorders>
          </w:tcPr>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667"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29" w:name="CA0_ГСП__1_ПРЛ_3_5CN__append1_3"/>
            <w:bookmarkEnd w:id="29"/>
            <w:r>
              <w:rPr>
                <w:rFonts w:ascii="Times New Roman" w:hAnsi="Times New Roman" w:cs="Times New Roman"/>
                <w:color w:val="000000"/>
                <w:sz w:val="24"/>
                <w:szCs w:val="24"/>
              </w:rPr>
              <w:t>Приложение 3</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 xml:space="preserve">на 2016–2020 годы </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0" w:name="CN__заг_прил_3_утв_1"/>
      <w:bookmarkEnd w:id="30"/>
      <w:r>
        <w:rPr>
          <w:rFonts w:ascii="Times New Roman" w:hAnsi="Times New Roman" w:cs="Times New Roman"/>
          <w:b/>
          <w:color w:val="000000"/>
          <w:sz w:val="24"/>
          <w:szCs w:val="24"/>
        </w:rPr>
        <w:t>Целевые показатели энергосбережения на 2016 год[1]</w:t>
      </w:r>
    </w:p>
    <w:tbl>
      <w:tblPr>
        <w:tblW w:w="5000" w:type="pct"/>
        <w:tblInd w:w="-15" w:type="dxa"/>
        <w:tblLayout w:type="fixed"/>
        <w:tblCellMar>
          <w:left w:w="0" w:type="dxa"/>
          <w:right w:w="0" w:type="dxa"/>
        </w:tblCellMar>
        <w:tblLook w:val="0000" w:firstRow="0" w:lastRow="0" w:firstColumn="0" w:lastColumn="0" w:noHBand="0" w:noVBand="0"/>
      </w:tblPr>
      <w:tblGrid>
        <w:gridCol w:w="7652"/>
        <w:gridCol w:w="3386"/>
        <w:gridCol w:w="3532"/>
      </w:tblGrid>
      <w:tr w:rsidR="00167A62">
        <w:trPr>
          <w:trHeight w:val="240"/>
        </w:trPr>
        <w:tc>
          <w:tcPr>
            <w:tcW w:w="2600" w:type="pc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органов местного управления</w:t>
            </w:r>
            <w:r>
              <w:rPr>
                <w:rFonts w:ascii="Times New Roman" w:hAnsi="Times New Roman" w:cs="Times New Roman"/>
                <w:color w:val="000000"/>
                <w:sz w:val="24"/>
                <w:szCs w:val="24"/>
                <w:vertAlign w:val="superscript"/>
              </w:rPr>
              <w:t>3</w:t>
            </w:r>
          </w:p>
        </w:tc>
        <w:tc>
          <w:tcPr>
            <w:tcW w:w="1150" w:type="pc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w:t>
            </w:r>
          </w:p>
        </w:tc>
        <w:tc>
          <w:tcPr>
            <w:tcW w:w="1200" w:type="pct"/>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Целевой показатель </w:t>
            </w:r>
          </w:p>
        </w:tc>
      </w:tr>
      <w:tr w:rsidR="00167A62">
        <w:trPr>
          <w:trHeight w:val="240"/>
        </w:trPr>
        <w:tc>
          <w:tcPr>
            <w:tcW w:w="26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11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12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МВД</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2,8</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Минздрав</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Мининформ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Минкультуры</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2,5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Минлесхоз</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6,5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Минобороны</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3,4</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Минобразование</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2,6</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5,8</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Минсвязи</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Минсельхозпрод</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Минспорт</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3,5</w:t>
            </w:r>
          </w:p>
        </w:tc>
      </w:tr>
    </w:tbl>
    <w:p w:rsidR="00167A62" w:rsidRDefault="00B67A41">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71" type="#_x0000_t75" style="width:7.5pt;height:7.5pt">
            <v:imagedata r:id="rId7" o:title=""/>
          </v:shape>
        </w:pict>
      </w:r>
    </w:p>
    <w:p w:rsidR="00167A62" w:rsidRDefault="00167A62">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652"/>
        <w:gridCol w:w="3386"/>
        <w:gridCol w:w="3532"/>
      </w:tblGrid>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Минтранс</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подчиненные Минэнерго:</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ГПО «Белтопгаз»</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ГПО «Белэнерго»</w:t>
            </w:r>
            <w:r>
              <w:rPr>
                <w:rFonts w:ascii="Times New Roman" w:hAnsi="Times New Roman" w:cs="Times New Roman"/>
                <w:color w:val="000000"/>
                <w:sz w:val="24"/>
                <w:szCs w:val="24"/>
                <w:vertAlign w:val="superscript"/>
              </w:rPr>
              <w:t>4</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т.у.т.</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Госкомвоенпром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6,0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Госпогранкомитет</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Концерны: </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«Белгоспищепром»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6,0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«Беллегпром»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7,0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«Беллесбумпром»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5,3</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«Белнефтехим»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4,6</w:t>
            </w:r>
          </w:p>
        </w:tc>
      </w:tr>
    </w:tbl>
    <w:p w:rsidR="00167A62" w:rsidRDefault="00B67A41">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72" type="#_x0000_t75" style="width:7.5pt;height:7.5pt">
            <v:imagedata r:id="rId7" o:title=""/>
          </v:shape>
        </w:pict>
      </w:r>
    </w:p>
    <w:p w:rsidR="00167A62" w:rsidRDefault="00167A62">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652"/>
        <w:gridCol w:w="3386"/>
        <w:gridCol w:w="3532"/>
      </w:tblGrid>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4,7</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4,7</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11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3,5</w:t>
            </w:r>
          </w:p>
        </w:tc>
      </w:tr>
    </w:tbl>
    <w:p w:rsidR="00167A62" w:rsidRDefault="00B67A41">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73" type="#_x0000_t75" style="width:7.5pt;height:7.5pt">
            <v:imagedata r:id="rId7" o:title=""/>
          </v:shape>
        </w:pict>
      </w:r>
    </w:p>
    <w:p w:rsidR="00167A62" w:rsidRDefault="00167A62">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652"/>
        <w:gridCol w:w="3386"/>
        <w:gridCol w:w="3532"/>
      </w:tblGrid>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4,7</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4,7</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Могилевский облисполком</w:t>
            </w:r>
          </w:p>
        </w:tc>
        <w:tc>
          <w:tcPr>
            <w:tcW w:w="11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6,0</w:t>
            </w:r>
          </w:p>
        </w:tc>
      </w:tr>
    </w:tbl>
    <w:p w:rsidR="00167A62" w:rsidRDefault="00B67A41">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74" type="#_x0000_t75" style="width:7.5pt;height:7.5pt">
            <v:imagedata r:id="rId7" o:title=""/>
          </v:shape>
        </w:pict>
      </w:r>
    </w:p>
    <w:p w:rsidR="00167A62" w:rsidRDefault="00167A62">
      <w:pPr>
        <w:widowControl w:val="0"/>
        <w:autoSpaceDE w:val="0"/>
        <w:autoSpaceDN w:val="0"/>
        <w:adjustRightInd w:val="0"/>
        <w:spacing w:after="0" w:line="300" w:lineRule="auto"/>
        <w:ind w:left="-15"/>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652"/>
        <w:gridCol w:w="3386"/>
        <w:gridCol w:w="3532"/>
      </w:tblGrid>
      <w:tr w:rsidR="00167A62">
        <w:trPr>
          <w:trHeight w:val="240"/>
        </w:trPr>
        <w:tc>
          <w:tcPr>
            <w:tcW w:w="26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Минский горисполком</w:t>
            </w:r>
            <w:r>
              <w:rPr>
                <w:rFonts w:ascii="Times New Roman" w:hAnsi="Times New Roman" w:cs="Times New Roman"/>
                <w:color w:val="000000"/>
                <w:sz w:val="24"/>
                <w:szCs w:val="24"/>
                <w:vertAlign w:val="superscript"/>
              </w:rPr>
              <w:t>5</w:t>
            </w:r>
          </w:p>
        </w:tc>
        <w:tc>
          <w:tcPr>
            <w:tcW w:w="115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4,5</w:t>
            </w:r>
          </w:p>
        </w:tc>
      </w:tr>
    </w:tbl>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Определяются ежеквартально как отношение экономии ТЭР за отчетный период 2016 года к обобщенным энергозатратам соответствующего периода 2015 года.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Величина используемой в расчетах экономии ТЭР, полученная в отчетном периоде (январь–март, январь–июнь, январь–сентябрь, январь–декабрь), должна соответствовать официальной статистической информации по форме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утвержденной </w:t>
      </w:r>
      <w:hyperlink r:id="rId42" w:anchor="T21503294p" w:history="1">
        <w:r>
          <w:rPr>
            <w:rFonts w:ascii="Times New Roman" w:hAnsi="Times New Roman" w:cs="Times New Roman"/>
            <w:color w:val="0000FF"/>
            <w:sz w:val="24"/>
            <w:szCs w:val="24"/>
          </w:rPr>
          <w:t>постановлением Национального статистического комитета Республики Беларусь от 2 ноября 2015 г. № 176</w:t>
        </w:r>
      </w:hyperlink>
      <w:r>
        <w:rPr>
          <w:rFonts w:ascii="Times New Roman" w:hAnsi="Times New Roman" w:cs="Times New Roman"/>
          <w:color w:val="000000"/>
          <w:sz w:val="24"/>
          <w:szCs w:val="24"/>
        </w:rPr>
        <w:t xml:space="preserve"> «Об утверждении формы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и указаний по ее заполнению» (Национальный правовой Интернет-портал Республики Беларусь, 13.11.2015, 7/3294).</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Обобщенные энергозатраты базисного периода определяются на основании официальной статистической информации по форме государственной статистической отчетности 12-тэк «Отчет о расходе топливно-энергетических ресурсов», утвержденной </w:t>
      </w:r>
      <w:hyperlink r:id="rId43" w:anchor="T21402775p" w:history="1">
        <w:r>
          <w:rPr>
            <w:rFonts w:ascii="Times New Roman" w:hAnsi="Times New Roman" w:cs="Times New Roman"/>
            <w:color w:val="0000FF"/>
            <w:sz w:val="24"/>
            <w:szCs w:val="24"/>
          </w:rPr>
          <w:t>постановлением Национального статистического комитета Республики Беларусь от 2 июня 2014 г. № 48</w:t>
        </w:r>
      </w:hyperlink>
      <w:r>
        <w:rPr>
          <w:rFonts w:ascii="Times New Roman" w:hAnsi="Times New Roman" w:cs="Times New Roman"/>
          <w:color w:val="000000"/>
          <w:sz w:val="24"/>
          <w:szCs w:val="24"/>
        </w:rPr>
        <w:t xml:space="preserve"> «Об утверждении формы государственной статистической отчетности 12-тэк «Отчет о расходе топливно-энергетических ресурсов» и указаний по ее заполнению» (Национальный правовой Интернет-портал Республики Беларусь, 09.08.2014, 7/2775) (далее – форма 12-тэк).</w:t>
      </w:r>
      <w:r w:rsidR="00B67A41">
        <w:rPr>
          <w:rFonts w:ascii="Times New Roman" w:hAnsi="Times New Roman" w:cs="Times New Roman"/>
          <w:color w:val="000000"/>
          <w:sz w:val="24"/>
          <w:szCs w:val="24"/>
        </w:rPr>
        <w:pict>
          <v:shape id="_x0000_i1075"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По всем организациям.</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4</w:t>
      </w:r>
      <w:r>
        <w:rPr>
          <w:rFonts w:ascii="Times New Roman" w:hAnsi="Times New Roman" w:cs="Times New Roman"/>
          <w:color w:val="000000"/>
          <w:sz w:val="24"/>
          <w:szCs w:val="24"/>
        </w:rPr>
        <w:t xml:space="preserve"> Целевой показатель определяется как абсолютное снижение обобщенных энергозатрат за счет внедрения технических и организационных мероприятий по энергосбережению за отчетный период 2016 года к уровню их потребления в 2015 году в сопоставимых условиях.</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Без учета энергозатрат ОАО «Газпром трансгаз Беларусь» и населения, использующих ТЭР за пределами административной территории города.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11802"/>
        <w:gridCol w:w="2768"/>
      </w:tblGrid>
      <w:tr w:rsidR="00167A62">
        <w:trPr>
          <w:trHeight w:val="240"/>
        </w:trPr>
        <w:tc>
          <w:tcPr>
            <w:tcW w:w="4050" w:type="pct"/>
            <w:tcBorders>
              <w:top w:val="nil"/>
              <w:left w:val="nil"/>
              <w:bottom w:val="nil"/>
              <w:right w:val="nil"/>
            </w:tcBorders>
          </w:tcPr>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950"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31" w:name="CA0_ГСП__1_ПРЛ_3_1__6CN__прил_31"/>
            <w:bookmarkEnd w:id="31"/>
            <w:r>
              <w:rPr>
                <w:rFonts w:ascii="Times New Roman" w:hAnsi="Times New Roman" w:cs="Times New Roman"/>
                <w:color w:val="000000"/>
                <w:sz w:val="24"/>
                <w:szCs w:val="24"/>
              </w:rPr>
              <w:t>Приложение 3[1]</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на 2016–2020 годы</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30.12.2016 № 1128)</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2" w:name="CN__заг_прил_31"/>
      <w:bookmarkEnd w:id="32"/>
      <w:r>
        <w:rPr>
          <w:rFonts w:ascii="Times New Roman" w:hAnsi="Times New Roman" w:cs="Times New Roman"/>
          <w:b/>
          <w:color w:val="000000"/>
          <w:sz w:val="24"/>
          <w:szCs w:val="24"/>
        </w:rPr>
        <w:t>Целевые показатели энергосбережения на 2017 год[1]</w:t>
      </w:r>
    </w:p>
    <w:tbl>
      <w:tblPr>
        <w:tblW w:w="5000" w:type="pct"/>
        <w:tblInd w:w="-15" w:type="dxa"/>
        <w:tblLayout w:type="fixed"/>
        <w:tblCellMar>
          <w:left w:w="0" w:type="dxa"/>
          <w:right w:w="0" w:type="dxa"/>
        </w:tblCellMar>
        <w:tblLook w:val="0000" w:firstRow="0" w:lastRow="0" w:firstColumn="0" w:lastColumn="0" w:noHBand="0" w:noVBand="0"/>
      </w:tblPr>
      <w:tblGrid>
        <w:gridCol w:w="7652"/>
        <w:gridCol w:w="3386"/>
        <w:gridCol w:w="3532"/>
      </w:tblGrid>
      <w:tr w:rsidR="00167A62">
        <w:trPr>
          <w:trHeight w:val="240"/>
        </w:trPr>
        <w:tc>
          <w:tcPr>
            <w:tcW w:w="2600" w:type="pc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органов местного управления</w:t>
            </w:r>
            <w:r>
              <w:rPr>
                <w:rFonts w:ascii="Times New Roman" w:hAnsi="Times New Roman" w:cs="Times New Roman"/>
                <w:color w:val="000000"/>
                <w:sz w:val="24"/>
                <w:szCs w:val="24"/>
                <w:vertAlign w:val="superscript"/>
              </w:rPr>
              <w:t>3</w:t>
            </w:r>
          </w:p>
        </w:tc>
        <w:tc>
          <w:tcPr>
            <w:tcW w:w="1150" w:type="pc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w:t>
            </w:r>
          </w:p>
        </w:tc>
        <w:tc>
          <w:tcPr>
            <w:tcW w:w="1200" w:type="pct"/>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Целевой показатель </w:t>
            </w:r>
          </w:p>
        </w:tc>
      </w:tr>
      <w:tr w:rsidR="00167A62">
        <w:trPr>
          <w:trHeight w:val="240"/>
        </w:trPr>
        <w:tc>
          <w:tcPr>
            <w:tcW w:w="26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11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12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2,3</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МВД</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3,8</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Минздрав</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4,7</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Мининформ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7,0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Минкультуры</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3,6</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Минлесхоз</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3,1</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Минобороны</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4,2</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Минобразование</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7,3</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Минсвязи</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8,2</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Минсельхозпрод</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5,1</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Минспорт</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4,1</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Минтранс</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8,1</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Организации, подчиненные Минэнерго: </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ГПО «Белтопгаз»</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3,2</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ГПО «Белэнерго»</w:t>
            </w:r>
            <w:r>
              <w:rPr>
                <w:rFonts w:ascii="Times New Roman" w:hAnsi="Times New Roman" w:cs="Times New Roman"/>
                <w:color w:val="000000"/>
                <w:sz w:val="24"/>
                <w:szCs w:val="24"/>
                <w:vertAlign w:val="superscript"/>
              </w:rPr>
              <w:t>4</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т.у.т.</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Госкомвоенпром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9,0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Госпогранкомитет</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4,7</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Концерны: </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«Белгоспищепром»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6,4</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«Беллегпром»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10,0</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«Беллесбумпром»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18,8</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«Белнефтехим»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4,2</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3,5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5,4</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4,5</w:t>
            </w:r>
          </w:p>
        </w:tc>
      </w:tr>
      <w:tr w:rsidR="00167A62">
        <w:trPr>
          <w:trHeight w:val="240"/>
        </w:trPr>
        <w:tc>
          <w:tcPr>
            <w:tcW w:w="2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Могилевский облисполком</w:t>
            </w:r>
          </w:p>
        </w:tc>
        <w:tc>
          <w:tcPr>
            <w:tcW w:w="11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4,3</w:t>
            </w:r>
          </w:p>
        </w:tc>
      </w:tr>
      <w:tr w:rsidR="00167A62">
        <w:trPr>
          <w:trHeight w:val="240"/>
        </w:trPr>
        <w:tc>
          <w:tcPr>
            <w:tcW w:w="26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Минский горисполком</w:t>
            </w:r>
            <w:r>
              <w:rPr>
                <w:rFonts w:ascii="Times New Roman" w:hAnsi="Times New Roman" w:cs="Times New Roman"/>
                <w:color w:val="000000"/>
                <w:sz w:val="24"/>
                <w:szCs w:val="24"/>
                <w:vertAlign w:val="superscript"/>
              </w:rPr>
              <w:t>5</w:t>
            </w:r>
          </w:p>
        </w:tc>
        <w:tc>
          <w:tcPr>
            <w:tcW w:w="115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минус 4,5</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Рассчитывается ежеквартально как объем экономии ТЭР за отчетный период 2017 года в процентном отношении к объему суммарного потребления ТЭР за соответствующий период 2016 года.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 экономии ТЭР, полученной в отчетном периоде (январь–март, январь–июнь, январь–сентябрь, январь–декабрь), соответствует официальной статистической информации по </w:t>
      </w:r>
      <w:hyperlink r:id="rId44" w:anchor="Заг_Утв_1" w:history="1">
        <w:r>
          <w:rPr>
            <w:rFonts w:ascii="Times New Roman" w:hAnsi="Times New Roman" w:cs="Times New Roman"/>
            <w:color w:val="0000FF"/>
            <w:sz w:val="24"/>
            <w:szCs w:val="24"/>
          </w:rPr>
          <w:t>форме</w:t>
        </w:r>
      </w:hyperlink>
      <w:r>
        <w:rPr>
          <w:rFonts w:ascii="Times New Roman" w:hAnsi="Times New Roman" w:cs="Times New Roman"/>
          <w:color w:val="000000"/>
          <w:sz w:val="24"/>
          <w:szCs w:val="24"/>
        </w:rPr>
        <w:t xml:space="preserve">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Суммарное потребление ТЭР базисного периода соответствует официальной статистической информации по форме 12-тэк.</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По всем организациям с учетом реализации (отпуска) населению.</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Целевой показатель определяется как абсолютное снижение суммарного потребления ТЭР за счет реализации организационно-технических мероприятий за отчетный период 2017 года к уровню его потребления в 2016 году в сопоставимых условиях.</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r w:rsidR="00B67A41">
        <w:rPr>
          <w:rFonts w:ascii="Times New Roman" w:hAnsi="Times New Roman" w:cs="Times New Roman"/>
          <w:color w:val="000000"/>
          <w:sz w:val="24"/>
          <w:szCs w:val="24"/>
        </w:rPr>
        <w:pict>
          <v:shape id="_x0000_i1076" type="#_x0000_t75" style="width:7.5pt;height:7.5pt">
            <v:imagedata r:id="rId7" o:title=""/>
          </v:shape>
        </w:pic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9712"/>
        <w:gridCol w:w="4858"/>
      </w:tblGrid>
      <w:tr w:rsidR="00167A62">
        <w:tc>
          <w:tcPr>
            <w:tcW w:w="3300" w:type="pct"/>
            <w:tcBorders>
              <w:top w:val="nil"/>
              <w:left w:val="nil"/>
              <w:bottom w:val="nil"/>
              <w:right w:val="nil"/>
            </w:tcBorders>
          </w:tcPr>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33" w:name="CA0_ГСП__1_ПРЛ_4_7CN__append1_4"/>
            <w:bookmarkEnd w:id="33"/>
            <w:r>
              <w:rPr>
                <w:rFonts w:ascii="Times New Roman" w:hAnsi="Times New Roman" w:cs="Times New Roman"/>
                <w:color w:val="000000"/>
                <w:sz w:val="24"/>
                <w:szCs w:val="24"/>
              </w:rPr>
              <w:t>Приложение 4</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 xml:space="preserve">на 2016–2020 годы </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4" w:name="CN__заг_прил_4_утв_1"/>
      <w:bookmarkEnd w:id="34"/>
      <w:r>
        <w:rPr>
          <w:rFonts w:ascii="Times New Roman" w:hAnsi="Times New Roman" w:cs="Times New Roman"/>
          <w:b/>
          <w:color w:val="000000"/>
          <w:sz w:val="24"/>
          <w:szCs w:val="24"/>
        </w:rPr>
        <w:t>Целевые показатели по экономии светлых нефтепродуктов (бензина, дизельного и биодизельного топлива) на 2016 год[1]</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bl>
      <w:tblPr>
        <w:tblW w:w="5000" w:type="pct"/>
        <w:tblLayout w:type="fixed"/>
        <w:tblCellMar>
          <w:left w:w="0" w:type="dxa"/>
          <w:right w:w="0" w:type="dxa"/>
        </w:tblCellMar>
        <w:tblLook w:val="0000" w:firstRow="0" w:lastRow="0" w:firstColumn="0" w:lastColumn="0" w:noHBand="0" w:noVBand="0"/>
      </w:tblPr>
      <w:tblGrid>
        <w:gridCol w:w="10490"/>
        <w:gridCol w:w="4080"/>
      </w:tblGrid>
      <w:tr w:rsidR="00167A62">
        <w:trPr>
          <w:trHeight w:val="240"/>
        </w:trPr>
        <w:tc>
          <w:tcPr>
            <w:tcW w:w="3600" w:type="pc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органов местного управления</w:t>
            </w:r>
            <w:r>
              <w:rPr>
                <w:rFonts w:ascii="Times New Roman" w:hAnsi="Times New Roman" w:cs="Times New Roman"/>
                <w:color w:val="000000"/>
                <w:sz w:val="24"/>
                <w:szCs w:val="24"/>
                <w:vertAlign w:val="superscript"/>
              </w:rPr>
              <w:t>3</w:t>
            </w:r>
          </w:p>
        </w:tc>
        <w:tc>
          <w:tcPr>
            <w:tcW w:w="1400" w:type="pct"/>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Целевой показатель</w:t>
            </w:r>
          </w:p>
        </w:tc>
      </w:tr>
      <w:tr w:rsidR="00167A62">
        <w:trPr>
          <w:trHeight w:val="240"/>
        </w:trPr>
        <w:tc>
          <w:tcPr>
            <w:tcW w:w="36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1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МВД</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Минздрав</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Мининформ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Минкультуры</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Минлесхоз</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Минобороны</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Минобразование</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Минпром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Минсвязи</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Минсельхозпрод</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Минспорт</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167A62" w:rsidRDefault="00B67A4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077" type="#_x0000_t75" style="width:7.5pt;height:7.5pt">
            <v:imagedata r:id="rId7" o:title=""/>
          </v:shape>
        </w:pict>
      </w:r>
    </w:p>
    <w:p w:rsidR="00167A62" w:rsidRDefault="00167A62">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0490"/>
        <w:gridCol w:w="4080"/>
      </w:tblGrid>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Минтранс</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Минприроды</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МЧС</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подчиненные Минэнерго:</w:t>
            </w:r>
          </w:p>
        </w:tc>
        <w:tc>
          <w:tcPr>
            <w:tcW w:w="1400" w:type="pct"/>
            <w:tcBorders>
              <w:top w:val="nil"/>
              <w:left w:val="nil"/>
              <w:bottom w:val="nil"/>
              <w:right w:val="nil"/>
            </w:tcBorders>
          </w:tcPr>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ГПО «Белтопгаз»</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ГПО «Белэнерго»</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Госкомвоенпром</w:t>
            </w:r>
            <w:r>
              <w:rPr>
                <w:rFonts w:ascii="Times New Roman" w:hAnsi="Times New Roman" w:cs="Times New Roman"/>
                <w:color w:val="000000"/>
                <w:sz w:val="24"/>
                <w:szCs w:val="24"/>
                <w:vertAlign w:val="superscript"/>
              </w:rPr>
              <w:t>4</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Госпогранкомитет</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Концерны:</w:t>
            </w:r>
          </w:p>
        </w:tc>
        <w:tc>
          <w:tcPr>
            <w:tcW w:w="1400" w:type="pct"/>
            <w:tcBorders>
              <w:top w:val="nil"/>
              <w:left w:val="nil"/>
              <w:bottom w:val="nil"/>
              <w:right w:val="nil"/>
            </w:tcBorders>
          </w:tcPr>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«Белгоспищепром»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«Беллегпром»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«Беллесбумпром»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«Белнефтехим»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Могилевский облисполком</w:t>
            </w:r>
          </w:p>
        </w:tc>
        <w:tc>
          <w:tcPr>
            <w:tcW w:w="1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6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14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Определяются как отношение полученной в отчетный период 2016 года за счет реализации организационно-технических мероприятий суммарной экономии светлых нефтепродуктов (бензина, дизельного и биодизельного топлива) к объему их фактического суммарного потребления за соответствующий период 2015 года в соответствии с официальной статистической информацией по форме государственной статистической отчетности 4-тэк (топливо) «Отчет об остатках, поступлении и расходе топлива», утвержденной </w:t>
      </w:r>
      <w:hyperlink r:id="rId45" w:anchor="T21503139p" w:history="1">
        <w:r>
          <w:rPr>
            <w:rFonts w:ascii="Times New Roman" w:hAnsi="Times New Roman" w:cs="Times New Roman"/>
            <w:color w:val="0000FF"/>
            <w:sz w:val="24"/>
            <w:szCs w:val="24"/>
          </w:rPr>
          <w:t>постановлением Национального статистического комитета Республики Беларусь от 16 июня 2015 г. № 51</w:t>
        </w:r>
      </w:hyperlink>
      <w:r>
        <w:rPr>
          <w:rFonts w:ascii="Times New Roman" w:hAnsi="Times New Roman" w:cs="Times New Roman"/>
          <w:color w:val="000000"/>
          <w:sz w:val="24"/>
          <w:szCs w:val="24"/>
        </w:rPr>
        <w:t xml:space="preserve"> «Об утверждении формы государственной статистической отчетности 4-тэк (топливо) «Отчет об остатках, поступлении и расходе топлива» и указаний по ее заполнению» (Национальный правовой Интернет-портал Республики Беларусь, 02.07.2015, 7/3139) (далее – 4-тэк).</w:t>
      </w:r>
      <w:r w:rsidR="00B67A41">
        <w:rPr>
          <w:rFonts w:ascii="Times New Roman" w:hAnsi="Times New Roman" w:cs="Times New Roman"/>
          <w:color w:val="000000"/>
          <w:sz w:val="24"/>
          <w:szCs w:val="24"/>
        </w:rPr>
        <w:pict>
          <v:shape id="_x0000_i1078"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Без учета расхода дизельного топлива на технологические нужды.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11802"/>
        <w:gridCol w:w="2768"/>
      </w:tblGrid>
      <w:tr w:rsidR="00167A62">
        <w:trPr>
          <w:trHeight w:val="240"/>
        </w:trPr>
        <w:tc>
          <w:tcPr>
            <w:tcW w:w="4050" w:type="pct"/>
            <w:tcBorders>
              <w:top w:val="nil"/>
              <w:left w:val="nil"/>
              <w:bottom w:val="nil"/>
              <w:right w:val="nil"/>
            </w:tcBorders>
          </w:tcPr>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35" w:name="CA0_ГСП__1_ПРЛ_4_1__8CN__прил_41"/>
            <w:bookmarkEnd w:id="35"/>
            <w:r>
              <w:rPr>
                <w:rFonts w:ascii="Times New Roman" w:hAnsi="Times New Roman" w:cs="Times New Roman"/>
                <w:color w:val="000000"/>
                <w:sz w:val="24"/>
                <w:szCs w:val="24"/>
              </w:rPr>
              <w:t>Приложение 4[1]</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на 2016–2020 годы</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30.12.2016 № 1128)</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6" w:name="CN__заг_прил_41"/>
      <w:bookmarkEnd w:id="36"/>
      <w:r>
        <w:rPr>
          <w:rFonts w:ascii="Times New Roman" w:hAnsi="Times New Roman" w:cs="Times New Roman"/>
          <w:b/>
          <w:color w:val="000000"/>
          <w:sz w:val="24"/>
          <w:szCs w:val="24"/>
        </w:rPr>
        <w:t>Целевые показатели по экономии светлых нефтепродуктов (бензина, дизельного и биодизельного топлива) на 2017 год[1]</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9418"/>
        <w:gridCol w:w="5152"/>
      </w:tblGrid>
      <w:tr w:rsidR="00167A62">
        <w:trPr>
          <w:trHeight w:val="240"/>
        </w:trPr>
        <w:tc>
          <w:tcPr>
            <w:tcW w:w="3200" w:type="pc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органов местного управления</w:t>
            </w:r>
            <w:r>
              <w:rPr>
                <w:rFonts w:ascii="Times New Roman" w:hAnsi="Times New Roman" w:cs="Times New Roman"/>
                <w:color w:val="000000"/>
                <w:sz w:val="24"/>
                <w:szCs w:val="24"/>
                <w:vertAlign w:val="superscript"/>
              </w:rPr>
              <w:t>3</w:t>
            </w:r>
          </w:p>
        </w:tc>
        <w:tc>
          <w:tcPr>
            <w:tcW w:w="1750" w:type="pct"/>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Целевой показатель</w:t>
            </w:r>
          </w:p>
        </w:tc>
      </w:tr>
      <w:tr w:rsidR="00167A62">
        <w:trPr>
          <w:trHeight w:val="240"/>
        </w:trPr>
        <w:tc>
          <w:tcPr>
            <w:tcW w:w="32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17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МВД</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Минздрав</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Мининформ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Минкультуры</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Минлесхоз</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Минобороны</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Минобразование</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Минпром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Минсвязи</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Минсельхозпрод</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Минспорт</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Минтранс</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Минприроды</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МЧС</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Организации, подчиненные Минэнерго: </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ГПО «Белтопгаз»</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ГПО «Белэнерго»</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Госкомвоенпром</w:t>
            </w:r>
            <w:r>
              <w:rPr>
                <w:rFonts w:ascii="Times New Roman" w:hAnsi="Times New Roman" w:cs="Times New Roman"/>
                <w:color w:val="000000"/>
                <w:sz w:val="24"/>
                <w:szCs w:val="24"/>
                <w:vertAlign w:val="superscript"/>
              </w:rPr>
              <w:t>4</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Госпогранкомитет</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Концерны: </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«Белгоспищепром»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«Беллегпром»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«Беллесбумпром»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«Белнефтехим»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Гомельский облисполком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Гродненский облисполком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Могилевский облисполком</w:t>
            </w:r>
          </w:p>
        </w:tc>
        <w:tc>
          <w:tcPr>
            <w:tcW w:w="17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67A62">
        <w:trPr>
          <w:trHeight w:val="240"/>
        </w:trPr>
        <w:tc>
          <w:tcPr>
            <w:tcW w:w="320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17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Рассчитывается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2017 года в процентном отношении к объему их фактического суммарного потребления за соответствующий период 2016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форме 4-тэк.</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Без учета расхода дизельного топлива на технологические нужды.</w:t>
      </w:r>
      <w:r w:rsidR="00B67A41">
        <w:rPr>
          <w:rFonts w:ascii="Times New Roman" w:hAnsi="Times New Roman" w:cs="Times New Roman"/>
          <w:color w:val="000000"/>
          <w:sz w:val="24"/>
          <w:szCs w:val="24"/>
        </w:rPr>
        <w:pict>
          <v:shape id="_x0000_i1079"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11921"/>
        <w:gridCol w:w="2649"/>
      </w:tblGrid>
      <w:tr w:rsidR="00167A62">
        <w:trPr>
          <w:trHeight w:val="240"/>
        </w:trPr>
        <w:tc>
          <w:tcPr>
            <w:tcW w:w="4050" w:type="pct"/>
            <w:tcBorders>
              <w:top w:val="nil"/>
              <w:left w:val="nil"/>
              <w:bottom w:val="nil"/>
              <w:right w:val="nil"/>
            </w:tcBorders>
          </w:tcPr>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37" w:name="CA0_ГСП__1_ПРЛ_5_9CN__прил_5_утв_1"/>
            <w:bookmarkEnd w:id="37"/>
            <w:r>
              <w:rPr>
                <w:rFonts w:ascii="Times New Roman" w:hAnsi="Times New Roman" w:cs="Times New Roman"/>
                <w:color w:val="000000"/>
                <w:sz w:val="24"/>
                <w:szCs w:val="24"/>
              </w:rPr>
              <w:t>Приложение 5</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на 2016–2020 годы</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30.12.2016 № 1128)</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8" w:name="CN__заг_прил_5_утв_1"/>
      <w:bookmarkEnd w:id="38"/>
      <w:r>
        <w:rPr>
          <w:rFonts w:ascii="Times New Roman" w:hAnsi="Times New Roman" w:cs="Times New Roman"/>
          <w:b/>
          <w:color w:val="000000"/>
          <w:sz w:val="24"/>
          <w:szCs w:val="24"/>
        </w:rPr>
        <w:t>Общий комплекс энергосберегающих мероприятий Государственной программы</w:t>
      </w:r>
    </w:p>
    <w:tbl>
      <w:tblPr>
        <w:tblW w:w="5000" w:type="pct"/>
        <w:tblInd w:w="-15" w:type="dxa"/>
        <w:tblLayout w:type="fixed"/>
        <w:tblCellMar>
          <w:left w:w="0" w:type="dxa"/>
          <w:right w:w="0" w:type="dxa"/>
        </w:tblCellMar>
        <w:tblLook w:val="0000" w:firstRow="0" w:lastRow="0" w:firstColumn="0" w:lastColumn="0" w:noHBand="0" w:noVBand="0"/>
      </w:tblPr>
      <w:tblGrid>
        <w:gridCol w:w="1749"/>
        <w:gridCol w:w="1457"/>
        <w:gridCol w:w="1020"/>
        <w:gridCol w:w="2040"/>
        <w:gridCol w:w="1311"/>
        <w:gridCol w:w="1311"/>
        <w:gridCol w:w="1311"/>
        <w:gridCol w:w="1311"/>
        <w:gridCol w:w="1166"/>
        <w:gridCol w:w="1894"/>
      </w:tblGrid>
      <w:tr w:rsidR="00167A62">
        <w:trPr>
          <w:trHeight w:val="240"/>
        </w:trPr>
        <w:tc>
          <w:tcPr>
            <w:tcW w:w="600" w:type="pct"/>
            <w:vMerge w:val="restar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мероприятия</w:t>
            </w:r>
          </w:p>
        </w:tc>
        <w:tc>
          <w:tcPr>
            <w:tcW w:w="500" w:type="pct"/>
            <w:vMerge w:val="restar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Заказчик</w:t>
            </w:r>
          </w:p>
        </w:tc>
        <w:tc>
          <w:tcPr>
            <w:tcW w:w="350" w:type="pct"/>
            <w:vMerge w:val="restar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годы</w:t>
            </w:r>
          </w:p>
        </w:tc>
        <w:tc>
          <w:tcPr>
            <w:tcW w:w="700" w:type="pct"/>
            <w:vMerge w:val="restar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w:t>
            </w:r>
          </w:p>
        </w:tc>
        <w:tc>
          <w:tcPr>
            <w:tcW w:w="2700" w:type="pct"/>
            <w:gridSpan w:val="6"/>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рублей</w:t>
            </w:r>
          </w:p>
        </w:tc>
      </w:tr>
      <w:tr w:rsidR="00167A62">
        <w:trPr>
          <w:trHeight w:val="240"/>
        </w:trPr>
        <w:tc>
          <w:tcPr>
            <w:tcW w:w="273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24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200" w:type="pct"/>
            <w:gridSpan w:val="5"/>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tc>
      </w:tr>
      <w:tr w:rsidR="00167A62">
        <w:trPr>
          <w:trHeight w:val="240"/>
        </w:trPr>
        <w:tc>
          <w:tcPr>
            <w:tcW w:w="273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240" w:type="dxa"/>
            <w:vMerge/>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130" w:type="dxa"/>
            <w:vMerge/>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4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4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400" w:type="pct"/>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167A62">
        <w:trPr>
          <w:trHeight w:val="240"/>
        </w:trPr>
        <w:tc>
          <w:tcPr>
            <w:tcW w:w="5000" w:type="pct"/>
            <w:gridSpan w:val="10"/>
            <w:tcBorders>
              <w:top w:val="single" w:sz="6" w:space="0" w:color="000000"/>
              <w:left w:val="nil"/>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 «Повышение энергоэффективности»</w:t>
            </w:r>
          </w:p>
        </w:tc>
      </w:tr>
      <w:tr w:rsidR="00167A62">
        <w:trPr>
          <w:trHeight w:val="240"/>
        </w:trPr>
        <w:tc>
          <w:tcPr>
            <w:tcW w:w="5000" w:type="pct"/>
            <w:gridSpan w:val="10"/>
            <w:tcBorders>
              <w:top w:val="single" w:sz="6" w:space="0" w:color="000000"/>
              <w:left w:val="nil"/>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Обеспечение объема экономии ТЭР от реализации энергосберегающих мероприятий</w:t>
            </w:r>
          </w:p>
        </w:tc>
      </w:tr>
      <w:tr w:rsidR="00167A62">
        <w:trPr>
          <w:trHeight w:val="240"/>
        </w:trPr>
        <w:tc>
          <w:tcPr>
            <w:tcW w:w="6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Внедрение современных энергоэффективных технологий, энергосберегающего оборудования, </w:t>
            </w:r>
            <w:r>
              <w:rPr>
                <w:rFonts w:ascii="Times New Roman" w:hAnsi="Times New Roman" w:cs="Times New Roman"/>
                <w:color w:val="000000"/>
                <w:sz w:val="24"/>
                <w:szCs w:val="24"/>
              </w:rPr>
              <w:lastRenderedPageBreak/>
              <w:t xml:space="preserve">приборов и материалов, повышение эффективности работы энергетических мощностей </w:t>
            </w:r>
          </w:p>
        </w:tc>
        <w:tc>
          <w:tcPr>
            <w:tcW w:w="5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Госстандарт, республиканские органы государственного управления</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облисполком</w:t>
            </w:r>
            <w:r>
              <w:rPr>
                <w:rFonts w:ascii="Times New Roman" w:hAnsi="Times New Roman" w:cs="Times New Roman"/>
                <w:color w:val="000000"/>
                <w:sz w:val="24"/>
                <w:szCs w:val="24"/>
              </w:rPr>
              <w:lastRenderedPageBreak/>
              <w:t>ы, Минский горисполком и иные организации, ответственные за выполнение мероприятия</w:t>
            </w:r>
          </w:p>
        </w:tc>
        <w:tc>
          <w:tcPr>
            <w:tcW w:w="35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5 379 523 280,0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881 086 800,0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994 628 250,0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1 078 477 080,0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1 167 167 200,0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1 258 163 950,0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176 059 000,0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29 035 500,0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32 071 000,0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34 710 000,0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41 242 500,0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129 619 300,0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20 403 500,0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25 438 400,0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25 420 330,0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28 444 000,0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29 913 000,0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на финансирование Государственной программы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41 116 270,0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7 722 000,0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5 631 600,0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8 217 170,0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9 418 500,0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10 127 000,0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5 323 500,0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1 001 000,0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1 072 500,0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1 137 500,0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1 202 500,0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бюджеты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931 716 000,0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157 313 000,0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181 832 500,0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190 613 500,0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195 440 000,0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206 517 000,0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из них средства на финансирование капитальных </w:t>
            </w:r>
            <w:r>
              <w:rPr>
                <w:rFonts w:ascii="Times New Roman" w:hAnsi="Times New Roman" w:cs="Times New Roman"/>
                <w:color w:val="000000"/>
                <w:sz w:val="24"/>
                <w:szCs w:val="24"/>
              </w:rPr>
              <w:lastRenderedPageBreak/>
              <w:t>вложений</w:t>
            </w:r>
            <w:r>
              <w:rPr>
                <w:rFonts w:ascii="Times New Roman" w:hAnsi="Times New Roman" w:cs="Times New Roman"/>
                <w:color w:val="000000"/>
                <w:sz w:val="24"/>
                <w:szCs w:val="24"/>
                <w:vertAlign w:val="superscript"/>
              </w:rPr>
              <w:t>3</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931 716 000,0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157 313 000,0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181 832 500,0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190 613 500,0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195 440 000,0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206 517 000,0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внебюджетных фондов (инвестиционные фонды)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60 146 400,0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10 558 700,0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12 226 300,0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11 461 000,0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12 410 000,0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13 490 400,0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2 411 608 510,0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389 554 650,0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438 173 110,0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481 819 400,0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527 527 600,0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574 533 750,0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кредитные ресурсы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1 405 200 310,0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230 193 250,0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257 808 420,0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280 397 700,0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306 180 000,0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330 620 940,0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кредиты банков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1 405 200 310,0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230 193 250,0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257 808 420,0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280 397 700,0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306 180 000,0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330 620 940,0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394 793 060,0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64 431 700,0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72 516 920,0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79 475 480,0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86 609 600,0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91 759 360,0</w:t>
            </w:r>
          </w:p>
        </w:tc>
      </w:tr>
      <w:tr w:rsidR="00167A62">
        <w:trPr>
          <w:trHeight w:val="240"/>
        </w:trPr>
        <w:tc>
          <w:tcPr>
            <w:tcW w:w="6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Оптимизация технологических процессов</w:t>
            </w:r>
          </w:p>
        </w:tc>
        <w:tc>
          <w:tcPr>
            <w:tcW w:w="5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Госстандарт, республиканские органы государственного управления</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облисполкомы, Минский горисполком </w:t>
            </w:r>
            <w:r>
              <w:rPr>
                <w:rFonts w:ascii="Times New Roman" w:hAnsi="Times New Roman" w:cs="Times New Roman"/>
                <w:color w:val="000000"/>
                <w:sz w:val="24"/>
                <w:szCs w:val="24"/>
              </w:rPr>
              <w:lastRenderedPageBreak/>
              <w:t>и иные организации, ответственные за выполнение мероприятия</w:t>
            </w:r>
          </w:p>
        </w:tc>
        <w:tc>
          <w:tcPr>
            <w:tcW w:w="35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2 609 480 850,0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430 337 010,0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482 267 570,0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521 724 170,0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565 417 000,0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609 735 100,0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73 132 200,0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12 060 900,0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13 321 800,0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14 418 000,0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16 200 000,0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17 131 500,0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w:t>
            </w:r>
            <w:r>
              <w:rPr>
                <w:rFonts w:ascii="Times New Roman" w:hAnsi="Times New Roman" w:cs="Times New Roman"/>
                <w:color w:val="000000"/>
                <w:sz w:val="24"/>
                <w:szCs w:val="24"/>
              </w:rPr>
              <w:lastRenderedPageBreak/>
              <w:t>ние капитальных вложений</w:t>
            </w:r>
            <w:r>
              <w:rPr>
                <w:rFonts w:ascii="Times New Roman" w:hAnsi="Times New Roman" w:cs="Times New Roman"/>
                <w:color w:val="000000"/>
                <w:sz w:val="24"/>
                <w:szCs w:val="24"/>
                <w:vertAlign w:val="superscript"/>
              </w:rPr>
              <w:t>2</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53 841 834,0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8 475 300,0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10 566 720,0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10 559 214,0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11 815 200,0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12 425 400,0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17 079 066,0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3 207 600,0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2 339 280,0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3 413 286,0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3 912 300,0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4 206 600,0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ранее на возвратной основе</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2 211 300,0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378 000,0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415 800,0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445 500,0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472 500,0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499 500,0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местные бюджеты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391 560 800,0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68 675 400,0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76 453 500,0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79 243 300,0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81 296 000,0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85 892 600,0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из них средства на финансирование капитальных вложений</w:t>
            </w:r>
            <w:r>
              <w:rPr>
                <w:rFonts w:ascii="Times New Roman" w:hAnsi="Times New Roman" w:cs="Times New Roman"/>
                <w:color w:val="000000"/>
                <w:sz w:val="24"/>
                <w:szCs w:val="24"/>
                <w:vertAlign w:val="superscript"/>
              </w:rPr>
              <w:t xml:space="preserve">3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391 560 800,0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68 675 400,0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76 453 500,0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79 243 300,0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81 296 000,0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85 892 600,0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lastRenderedPageBreak/>
              <w:t xml:space="preserve">внебюджетных фондов (инвестиционные фонды)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11 947 040,0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2 096 700,0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2 429 240,0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2 276 500,0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2 465 000,0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2 679 600,0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991 874 550,0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160 852 980,0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180 665 820,0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197 839 400,0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216 607 600,0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235 908 750,0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1 008 823 520,0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165 042 730,0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185 134 030,0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201 355 550,0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219 870 000,0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237 421 210,0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кредиты банков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1 008 823 520,0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165 042 730,0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185 134 030,0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201 355 550,0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219 870 000,0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237 421 210,0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132 142 740,0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21 608 300,0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24 263 180,0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26 591 420,0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28 978 400,0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30 701 440,0</w:t>
            </w:r>
          </w:p>
        </w:tc>
      </w:tr>
      <w:tr w:rsidR="00167A62">
        <w:trPr>
          <w:trHeight w:val="240"/>
        </w:trPr>
        <w:tc>
          <w:tcPr>
            <w:tcW w:w="6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Прочие мероприятия, направленные на повышение энергоэффективности</w:t>
            </w:r>
          </w:p>
        </w:tc>
        <w:tc>
          <w:tcPr>
            <w:tcW w:w="5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Госстандарт, республиканские органы государственного управления</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облисполкомы, Минский горисполком и иные организации, </w:t>
            </w:r>
            <w:r>
              <w:rPr>
                <w:rFonts w:ascii="Times New Roman" w:hAnsi="Times New Roman" w:cs="Times New Roman"/>
                <w:color w:val="000000"/>
                <w:sz w:val="24"/>
                <w:szCs w:val="24"/>
              </w:rPr>
              <w:lastRenderedPageBreak/>
              <w:t>ответственные за выполнение мероприятия</w:t>
            </w:r>
          </w:p>
        </w:tc>
        <w:tc>
          <w:tcPr>
            <w:tcW w:w="35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2 179 355 870,0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356 416 190,0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399 954 180,0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435 098 750,0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474 435 800,0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513 450 950,0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21 668 800,0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3 573 600,0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3 947 200,0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4 272 000,0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4 800 000,0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5 076 000,0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на финансирование капитальных </w:t>
            </w:r>
            <w:r>
              <w:rPr>
                <w:rFonts w:ascii="Times New Roman" w:hAnsi="Times New Roman" w:cs="Times New Roman"/>
                <w:color w:val="000000"/>
                <w:sz w:val="24"/>
                <w:szCs w:val="24"/>
              </w:rPr>
              <w:lastRenderedPageBreak/>
              <w:t>вложений</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15 953 136,0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2 511 200,0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3 130 880,0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3 128 656,0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3 500 800,0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3 681 600,0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5 060 464,0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950 400,0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693 120,0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1 011 344,0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1 159 200,0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1 246 400,0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ранее на возвратной основе</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655 200,0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112 000,0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123 200,0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132 000,0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148 000,0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местные бюджеты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116 083 200,0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20 361 600,0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22 744 000,0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23 403 200,0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24 084 000,0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25 490 400,0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из них средства на финансирование капитальных вложений</w:t>
            </w:r>
            <w:r>
              <w:rPr>
                <w:rFonts w:ascii="Times New Roman" w:hAnsi="Times New Roman" w:cs="Times New Roman"/>
                <w:color w:val="000000"/>
                <w:sz w:val="24"/>
                <w:szCs w:val="24"/>
                <w:vertAlign w:val="superscript"/>
              </w:rPr>
              <w:t>3</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116 083 200,0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20 361 600,0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22 744 000,0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23 403 200,0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24 084 000,0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25 490 400,0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внебюджетных фондов </w:t>
            </w:r>
            <w:r>
              <w:rPr>
                <w:rFonts w:ascii="Times New Roman" w:hAnsi="Times New Roman" w:cs="Times New Roman"/>
                <w:color w:val="000000"/>
                <w:sz w:val="24"/>
                <w:szCs w:val="24"/>
              </w:rPr>
              <w:lastRenderedPageBreak/>
              <w:t xml:space="preserve">(инвестиционные фонды)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10 291 560,0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1 804 600,0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2 089 460,0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1 962 500,0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2 125 000,0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2 310 000,0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1 338 891 940,0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217 262 370,0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244 116 070,0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266 941 200,0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292 264 800,0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318 307 500,0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477 266 170,0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78 344 020,0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87 527 550,0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95 196 750,0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103 950 000,0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112 247 850,0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том числе кредиты банков</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477 266 170,0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78 344 020,0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87 527 550,0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95 196 750,0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103 950 000,0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112 247 850,0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215 154 200,0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35 070 000,0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39 529 900,0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43 323 100,0</w:t>
            </w:r>
          </w:p>
        </w:tc>
        <w:tc>
          <w:tcPr>
            <w:tcW w:w="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47 212 000,0</w:t>
            </w:r>
          </w:p>
        </w:tc>
        <w:tc>
          <w:tcPr>
            <w:tcW w:w="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50 019 200,0</w:t>
            </w:r>
          </w:p>
        </w:tc>
      </w:tr>
      <w:tr w:rsidR="00167A62">
        <w:trPr>
          <w:trHeight w:val="240"/>
        </w:trPr>
        <w:tc>
          <w:tcPr>
            <w:tcW w:w="6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по подпрограмме 1 </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10 168 360 000,0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1 667 840 000,0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1 876 850 000,0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2 035 530 000,0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2 207 020 000,0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2 381 350 000,0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270 860 000,0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44 670 000,0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49 340 000,0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53 400 000,0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63 450 000,0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199 414 200,0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31 390 000,0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39 136 000,0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39 108 200,0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43 760 000,0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46 020 000,0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lastRenderedPageBreak/>
              <w:t xml:space="preserve">выделенные на финансирование Государственной программы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63 255 800,0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11 880 000,0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8 664 000,0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12 641 800,0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14 490 </w:t>
            </w:r>
            <w:r>
              <w:rPr>
                <w:rFonts w:ascii="Times New Roman" w:hAnsi="Times New Roman" w:cs="Times New Roman"/>
                <w:color w:val="000000"/>
                <w:sz w:val="24"/>
                <w:szCs w:val="24"/>
              </w:rPr>
              <w:lastRenderedPageBreak/>
              <w:t>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15 580 000,0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8 190 000,0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1 850 000,0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местные бюджеты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1 439 360 000,0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246 350 000,0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281 030 000,0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293 260 000,0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300 820 000,0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317 900 000,0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них средства на финансирование капитальных вложений</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1 439 360 000,0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246 350 000,0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281 030 000,0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293 260 000,0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300 820 000,0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317 900 000,0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внебюджетных фондов (инвестиционные фонды)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82 385 000,0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16 745 000,0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15 700 000,0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18 480 000,0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4 742 375 000,0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767 670 000,0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862 955 000,0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946 600 000,0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1 036 400 000,0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1 128 750 000,0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2 891 290 000,0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473 580 000,0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530 470 000,0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576 950 000,0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680 290 000,0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кредиты банков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2 891 290 000,0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473 580 000,0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530 470 000,0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576 950 000,0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630 000 000,0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680 290 000,0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742 090 000,0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121 110 000,0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136 310 000,0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149 390 000,0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162 800 000,0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172 480 000,0</w:t>
            </w:r>
          </w:p>
        </w:tc>
      </w:tr>
      <w:tr w:rsidR="00167A62">
        <w:trPr>
          <w:trHeight w:val="240"/>
        </w:trPr>
        <w:tc>
          <w:tcPr>
            <w:tcW w:w="5000" w:type="pct"/>
            <w:gridSpan w:val="10"/>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2 «Развитие использования местных ТЭР, в том числе возобновляемых источников»</w:t>
            </w:r>
          </w:p>
        </w:tc>
      </w:tr>
      <w:tr w:rsidR="00167A62">
        <w:trPr>
          <w:trHeight w:val="240"/>
        </w:trPr>
        <w:tc>
          <w:tcPr>
            <w:tcW w:w="5000" w:type="pct"/>
            <w:gridSpan w:val="10"/>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Задача. Увеличение доли местных ТЭР, в том числе возобновляемых источников, в валовом потреблении ТЭР</w:t>
            </w:r>
          </w:p>
        </w:tc>
      </w:tr>
      <w:tr w:rsidR="00167A62">
        <w:trPr>
          <w:trHeight w:val="240"/>
        </w:trPr>
        <w:tc>
          <w:tcPr>
            <w:tcW w:w="6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Внедрение технологического оборудования, работающего с использованием местных ТЭР, в том числе ВИЭ</w:t>
            </w:r>
          </w:p>
        </w:tc>
        <w:tc>
          <w:tcPr>
            <w:tcW w:w="5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Госстандарт, республиканские органы государственного управления</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облисполкомы, Минский горисполком и иные организации, ответственные за </w:t>
            </w:r>
            <w:r>
              <w:rPr>
                <w:rFonts w:ascii="Times New Roman" w:hAnsi="Times New Roman" w:cs="Times New Roman"/>
                <w:color w:val="000000"/>
                <w:sz w:val="24"/>
                <w:szCs w:val="24"/>
              </w:rPr>
              <w:lastRenderedPageBreak/>
              <w:t>выполнение мероприятия</w:t>
            </w:r>
          </w:p>
        </w:tc>
        <w:tc>
          <w:tcPr>
            <w:tcW w:w="35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827 340 420,0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126 707 320,0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142 422 400,0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169 728 390,0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189 974 030,0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198 508 280,0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бюджет</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118 717 200,0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20 240 400,0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22 429 600,0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24 380 000,0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24 840 000,0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26 827 200,0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 него:</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государственных целевых бюджетных фондов (инновационн</w:t>
            </w:r>
            <w:r>
              <w:rPr>
                <w:rFonts w:ascii="Times New Roman" w:hAnsi="Times New Roman" w:cs="Times New Roman"/>
                <w:color w:val="000000"/>
                <w:sz w:val="24"/>
                <w:szCs w:val="24"/>
              </w:rPr>
              <w:lastRenderedPageBreak/>
              <w:t>ый фонд)</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98 761 000,0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13 760 400,0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19 613 600,0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20 511 800,0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21 568 000,0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23 307 200,0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16 156 200,0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2 680 000,0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2 816 000,0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3 868 200,0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3 272 000,0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3 520 000,0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ранее на возвратной основе</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местные бюджеты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191 212 000,0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22 668 800,0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21 592 400,0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37 775 200,0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55 365 600,0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53 810 000,0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них: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средства на финансирование </w:t>
            </w:r>
            <w:r>
              <w:rPr>
                <w:rFonts w:ascii="Times New Roman" w:hAnsi="Times New Roman" w:cs="Times New Roman"/>
                <w:color w:val="000000"/>
                <w:sz w:val="24"/>
                <w:szCs w:val="24"/>
              </w:rPr>
              <w:lastRenderedPageBreak/>
              <w:t>капитальных вложений</w:t>
            </w:r>
            <w:r>
              <w:rPr>
                <w:rFonts w:ascii="Times New Roman" w:hAnsi="Times New Roman" w:cs="Times New Roman"/>
                <w:color w:val="000000"/>
                <w:sz w:val="24"/>
                <w:szCs w:val="24"/>
                <w:vertAlign w:val="superscript"/>
              </w:rPr>
              <w:t>3</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147 694 239,15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22 668 800,0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16 017 227,95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28 021 659,51</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41 070 225,84</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39 916 325,85</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строительства энергоисточников на МТЭР</w:t>
            </w:r>
            <w:r>
              <w:rPr>
                <w:rFonts w:ascii="Times New Roman" w:hAnsi="Times New Roman" w:cs="Times New Roman"/>
                <w:color w:val="000000"/>
                <w:sz w:val="24"/>
                <w:szCs w:val="24"/>
                <w:vertAlign w:val="superscript"/>
              </w:rPr>
              <w:t>6</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242 808 020,0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37 605 320,0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46 571 440,0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50 992 710,0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51 947 630,0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55 690 920,0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кредитные ресурсы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196 262 400,0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33 069 120,0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37 118 400,0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40 465 440,0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41 222 400,0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44 387 040,0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кредиты банков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196 262 400,0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33 069 120,0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37 118 400,0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40 465 440,0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41 222 400,0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44 387 040,0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78 340 800,0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13 123 680,0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14 710 560,0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16 115 040,0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16 598 400,0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17 793 120,0</w:t>
            </w:r>
          </w:p>
        </w:tc>
      </w:tr>
      <w:tr w:rsidR="00167A62">
        <w:trPr>
          <w:trHeight w:val="240"/>
        </w:trPr>
        <w:tc>
          <w:tcPr>
            <w:tcW w:w="6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Прочие мероприятия, направленные на увеличение использования местных ТЭР</w:t>
            </w:r>
          </w:p>
        </w:tc>
        <w:tc>
          <w:tcPr>
            <w:tcW w:w="50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Госстандарт, республиканские органы государственного управления</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облисполкомы, Минский </w:t>
            </w:r>
            <w:r>
              <w:rPr>
                <w:rFonts w:ascii="Times New Roman" w:hAnsi="Times New Roman" w:cs="Times New Roman"/>
                <w:color w:val="000000"/>
                <w:sz w:val="24"/>
                <w:szCs w:val="24"/>
              </w:rPr>
              <w:lastRenderedPageBreak/>
              <w:t>горисполком и иные организации, ответственные за выполнение мероприятия</w:t>
            </w:r>
          </w:p>
        </w:tc>
        <w:tc>
          <w:tcPr>
            <w:tcW w:w="350" w:type="pct"/>
            <w:vMerge w:val="restar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2016–2020</w:t>
            </w: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68 559 580,0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13 612 680,0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11 027 600,0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13 271 610,0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15 005 970,0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15 641 720,0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9 992 800,0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1 429 600,0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1 950 400,0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2 120 000,0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2 332 800,0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w:t>
            </w:r>
            <w:r>
              <w:rPr>
                <w:rFonts w:ascii="Times New Roman" w:hAnsi="Times New Roman" w:cs="Times New Roman"/>
                <w:color w:val="000000"/>
                <w:sz w:val="24"/>
                <w:szCs w:val="24"/>
              </w:rPr>
              <w:lastRenderedPageBreak/>
              <w:t xml:space="preserve">государственных целевых бюджетных фондов (инновационный фонд)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6 160 800,0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759 600,0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1 246 400,0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1 342 000,0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1 452 800,0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на финансирование Государственной программы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3 832 000,0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818 000,0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880 000,0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w:t>
            </w:r>
            <w:r>
              <w:rPr>
                <w:rFonts w:ascii="Times New Roman" w:hAnsi="Times New Roman" w:cs="Times New Roman"/>
                <w:color w:val="000000"/>
                <w:sz w:val="24"/>
                <w:szCs w:val="24"/>
              </w:rPr>
              <w:lastRenderedPageBreak/>
              <w:t>бюджеты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16 628 000,0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1 971 200,0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1 877 600,0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3 284 800,0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4 814 400,0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4 680 000,0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них: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16 628 000,0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1 971 200,0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1 877 600,0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3 284 800,0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4 814 400,0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4 680 000,0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строительства энергоисточников на местных ТЭР</w:t>
            </w: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15 441 980,0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5 754 680,0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2 198 560,0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2 407 290,0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2 452 370,0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2 629 080,0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18 937 600,0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3 190 880,0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3 581 600,0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3 904 560,0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3 977 600,0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4 282 960,0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кредиты банков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18 937 600,0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3 190 880,0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3 581 600,0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3 904 560,0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3 977 600,0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4 282 960,0</w:t>
            </w:r>
          </w:p>
        </w:tc>
      </w:tr>
      <w:tr w:rsidR="00167A62">
        <w:trPr>
          <w:trHeight w:val="240"/>
        </w:trPr>
        <w:tc>
          <w:tcPr>
            <w:tcW w:w="273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nil"/>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3</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7 559 200,0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1 266 320,0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1 419 440,0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1 554 960,0</w:t>
            </w:r>
          </w:p>
        </w:tc>
        <w:tc>
          <w:tcPr>
            <w:tcW w:w="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1 601 600,0</w:t>
            </w:r>
          </w:p>
        </w:tc>
        <w:tc>
          <w:tcPr>
            <w:tcW w:w="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1 716 880,0</w:t>
            </w:r>
          </w:p>
        </w:tc>
      </w:tr>
      <w:tr w:rsidR="00167A62">
        <w:trPr>
          <w:trHeight w:val="240"/>
        </w:trPr>
        <w:tc>
          <w:tcPr>
            <w:tcW w:w="6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по подпрограмме 2 </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895 900 000,0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140 320 000,0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153 450 000,0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183 000 000,0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204 980 000,0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214 150 000,0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128 710 000,0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21 670 000,0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24 380 000,0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26 500 000,0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29 160 000,0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государственных целевых бюджетных фондов (инновационный фонд)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104 921 800,0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14 520 000,0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20 860 000,0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21 871 800,0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22 910 000,0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24 760 000,0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выделенные на финансирование Государственной программы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19 988 200,0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3 350 000,0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3 520 000,0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4 628 200,0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4 090 000,0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4 400 000,0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местные бюджеты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207 840 000,0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24 640 000,0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23 470 000,0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41 060 000,0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60 180 000,0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58 490 000,0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них: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3</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164 322 239,15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24 640 000,0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17 894 827,95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31 306 459,51</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45 884 625,84</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44 596 325,85</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строительства энергоисточников на местных ТЭР</w:t>
            </w: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43 517 760,85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258 250 000,0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43 360 000,0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48 770 000,0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53 400 000,0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54 400 000,0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58 320 000,0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215 200 000,0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40 700 000,0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44 370 000,0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45 200 000,0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48 670 000,0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кредиты банков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215 200 000,0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40 700 000,0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44 370 000,0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45 200 000,0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48 670 000,0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85 900 000,0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14 390 000,0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16 130 000,0</w:t>
            </w:r>
          </w:p>
        </w:tc>
        <w:tc>
          <w:tcPr>
            <w:tcW w:w="45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17 670 000,0</w:t>
            </w:r>
          </w:p>
        </w:tc>
        <w:tc>
          <w:tcPr>
            <w:tcW w:w="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18 200 000,0</w:t>
            </w:r>
          </w:p>
        </w:tc>
        <w:tc>
          <w:tcPr>
            <w:tcW w:w="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19 510 000,0</w:t>
            </w:r>
          </w:p>
        </w:tc>
      </w:tr>
      <w:tr w:rsidR="00167A62">
        <w:trPr>
          <w:trHeight w:val="240"/>
        </w:trPr>
        <w:tc>
          <w:tcPr>
            <w:tcW w:w="6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vMerge w:val="restar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11 064 260 000,0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1 808 160 000,0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2 030 300 000,0</w:t>
            </w:r>
          </w:p>
        </w:tc>
        <w:tc>
          <w:tcPr>
            <w:tcW w:w="4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2 218 300 000,0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2 412 000 000,0</w:t>
            </w:r>
          </w:p>
        </w:tc>
        <w:tc>
          <w:tcPr>
            <w:tcW w:w="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2 595 500 000,0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бюджет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399 570 000,0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66 340 000,0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73 720 000,0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79 900 000,0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92 610 000,0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него: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государственных целевых бюджетных фондов (инновационный фонд)</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304 336 000,0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45 910 000,0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59 996 000,0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60 980 000,0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66 670 000,0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70 780 000,0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на финансирование Государственной программы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83 244 000,0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15 230 000,0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12 184 000,0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17 270 000,0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18 580 000,0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19 980 000,0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выделенные ранее на возвратной основе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8 190 000,0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1 750 000,0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1 850 000,0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бюджеты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1 647 200 000,0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270 990 000,0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304 500 000,0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334 320 000,0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361 000 000,0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376 390 000,0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них: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средства на финансирование капитальных вложений</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1 603 682 239,15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270 990 000,0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298 924 827,95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324 566 459,51</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346 704 625,84</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362 496 325,85</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на финансирование строительства </w:t>
            </w:r>
            <w:r>
              <w:rPr>
                <w:rFonts w:ascii="Times New Roman" w:hAnsi="Times New Roman" w:cs="Times New Roman"/>
                <w:color w:val="000000"/>
                <w:sz w:val="24"/>
                <w:szCs w:val="24"/>
              </w:rPr>
              <w:lastRenderedPageBreak/>
              <w:t>энергоисточников на МТЭР</w:t>
            </w: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43 517 760,85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5 575 172,05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9 753 540,49</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14 295 374,16</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13 893 674,15</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внебюджетных фондов (инвестиционные фонды)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82 385 000,0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14 460 000,0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16 745 000,0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15 700 000,0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18 480 000,0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собственные средства</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5 000 625 000,0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811 030 000,0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911 725 000,0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1 090 800 000,0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1 187 070 000,0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кредитные ресурсы</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3 106 490 000,0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509 840 000,0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571 170 000,0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621 320 000,0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675 200 000,0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728 960 000,0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кредиты банков </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3 106 490 000,0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509 840 000,0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571 170 000,0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621 320 000,0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675 200 000,0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728 960 000,0</w:t>
            </w:r>
          </w:p>
        </w:tc>
      </w:tr>
      <w:tr w:rsidR="00167A62">
        <w:trPr>
          <w:trHeight w:val="240"/>
        </w:trPr>
        <w:tc>
          <w:tcPr>
            <w:tcW w:w="273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31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20" w:type="dxa"/>
            <w:vMerge/>
            <w:tcBorders>
              <w:top w:val="single" w:sz="6" w:space="0" w:color="000000"/>
              <w:left w:val="nil"/>
              <w:bottom w:val="nil"/>
              <w:right w:val="nil"/>
            </w:tcBorders>
          </w:tcPr>
          <w:p w:rsidR="00167A62" w:rsidRDefault="00167A62">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70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иные источники</w:t>
            </w:r>
            <w:r>
              <w:rPr>
                <w:rFonts w:ascii="Times New Roman" w:hAnsi="Times New Roman" w:cs="Times New Roman"/>
                <w:color w:val="000000"/>
                <w:sz w:val="24"/>
                <w:szCs w:val="24"/>
                <w:vertAlign w:val="superscript"/>
              </w:rPr>
              <w:t>5</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827 990 000,0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135 500 000,0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152 440 000,0</w:t>
            </w:r>
          </w:p>
        </w:tc>
        <w:tc>
          <w:tcPr>
            <w:tcW w:w="45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167 060 000,0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181 000 000,0</w:t>
            </w:r>
          </w:p>
        </w:tc>
        <w:tc>
          <w:tcPr>
            <w:tcW w:w="400" w:type="pct"/>
            <w:tcBorders>
              <w:top w:val="nil"/>
              <w:left w:val="nil"/>
              <w:bottom w:val="nil"/>
              <w:right w:val="nil"/>
            </w:tcBorders>
          </w:tcPr>
          <w:p w:rsid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191 990 000,0</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 составе заказчиков: Минстройархитектуры, МВД, Минздрав, Мининформ, Минкультуры, Минлесхоз, Минобороны, Минобразование, МЧС, Минпром, Минсвязи, Минсельхозпрод, Минспорт, Минтранс, Минтруда и соцзащиты, Минэнерго, Госкомвоенпром, Госпогранкомитет.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Указываются средства на финансирование капитальных вложений в рамках средств, предусмотренных на содержание государственных органов.</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lastRenderedPageBreak/>
        <w:t>4</w:t>
      </w:r>
      <w:r>
        <w:rPr>
          <w:rFonts w:ascii="Times New Roman" w:hAnsi="Times New Roman" w:cs="Times New Roman"/>
          <w:color w:val="000000"/>
          <w:sz w:val="24"/>
          <w:szCs w:val="24"/>
        </w:rPr>
        <w:t xml:space="preserve">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Объемы финансирования будут ежегодно уточняться, выделение бюджетных средств не предусматривается.</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xml:space="preserve"> Средства, предусматриваемые для финансирования строительства энергогенерирующих мощностей на местных ТЭР, переданные из финансового обеспечения </w:t>
      </w:r>
      <w:hyperlink r:id="rId46"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«Комфортное жилье и благоприятная среда» на 2016–2020 годы по решению постоянной межведомственной комиссии по государственным программам.</w:t>
      </w:r>
      <w:r w:rsidR="00B67A41">
        <w:rPr>
          <w:rFonts w:ascii="Times New Roman" w:hAnsi="Times New Roman" w:cs="Times New Roman"/>
          <w:color w:val="000000"/>
          <w:sz w:val="24"/>
          <w:szCs w:val="24"/>
        </w:rPr>
        <w:pict>
          <v:shape id="_x0000_i1080"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W w:w="5000" w:type="pct"/>
        <w:tblInd w:w="-15" w:type="dxa"/>
        <w:tblLayout w:type="fixed"/>
        <w:tblCellMar>
          <w:left w:w="0" w:type="dxa"/>
          <w:right w:w="0" w:type="dxa"/>
        </w:tblCellMar>
        <w:tblLook w:val="0000" w:firstRow="0" w:lastRow="0" w:firstColumn="0" w:lastColumn="0" w:noHBand="0" w:noVBand="0"/>
      </w:tblPr>
      <w:tblGrid>
        <w:gridCol w:w="10793"/>
        <w:gridCol w:w="3777"/>
      </w:tblGrid>
      <w:tr w:rsidR="00167A62" w:rsidTr="00167A62">
        <w:trPr>
          <w:trHeight w:val="240"/>
        </w:trPr>
        <w:tc>
          <w:tcPr>
            <w:tcW w:w="3704" w:type="pct"/>
            <w:tcBorders>
              <w:top w:val="nil"/>
              <w:left w:val="nil"/>
              <w:bottom w:val="nil"/>
              <w:right w:val="nil"/>
            </w:tcBorders>
          </w:tcPr>
          <w:p w:rsidR="00167A62" w:rsidRDefault="00167A62" w:rsidP="00167A6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96" w:type="pct"/>
            <w:tcBorders>
              <w:top w:val="nil"/>
              <w:left w:val="nil"/>
              <w:bottom w:val="nil"/>
              <w:right w:val="nil"/>
            </w:tcBorders>
          </w:tcPr>
          <w:p w:rsidR="00167A62" w:rsidRDefault="00167A62" w:rsidP="00167A62">
            <w:pPr>
              <w:widowControl w:val="0"/>
              <w:autoSpaceDE w:val="0"/>
              <w:autoSpaceDN w:val="0"/>
              <w:adjustRightInd w:val="0"/>
              <w:spacing w:after="30" w:line="240" w:lineRule="auto"/>
              <w:ind w:left="141"/>
              <w:rPr>
                <w:rFonts w:ascii="Times New Roman" w:hAnsi="Times New Roman" w:cs="Times New Roman"/>
                <w:color w:val="000000"/>
                <w:sz w:val="24"/>
                <w:szCs w:val="24"/>
              </w:rPr>
            </w:pPr>
            <w:bookmarkStart w:id="39" w:name="CA0_ГСП__1_ПРЛ_6_11CN__прил_6_утв_1"/>
            <w:bookmarkEnd w:id="39"/>
            <w:r>
              <w:rPr>
                <w:rFonts w:ascii="Times New Roman" w:hAnsi="Times New Roman" w:cs="Times New Roman"/>
                <w:color w:val="000000"/>
                <w:sz w:val="24"/>
                <w:szCs w:val="24"/>
              </w:rPr>
              <w:t>Приложение 6</w:t>
            </w:r>
          </w:p>
          <w:p w:rsidR="00167A62" w:rsidRDefault="00167A62" w:rsidP="00167A62">
            <w:pPr>
              <w:widowControl w:val="0"/>
              <w:autoSpaceDE w:val="0"/>
              <w:autoSpaceDN w:val="0"/>
              <w:adjustRightInd w:val="0"/>
              <w:spacing w:after="0" w:line="240" w:lineRule="auto"/>
              <w:ind w:left="141"/>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на 2016–2020 годы</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30.12.2016 № 1128)</w:t>
            </w:r>
          </w:p>
        </w:tc>
      </w:tr>
    </w:tbl>
    <w:p w:rsidR="00167A62" w:rsidRDefault="00167A62" w:rsidP="00167A62">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40" w:name="CN__заг_прил_6_утв_1"/>
      <w:bookmarkEnd w:id="40"/>
      <w:r>
        <w:rPr>
          <w:rFonts w:ascii="Times New Roman" w:hAnsi="Times New Roman" w:cs="Times New Roman"/>
          <w:b/>
          <w:color w:val="000000"/>
          <w:sz w:val="24"/>
          <w:szCs w:val="24"/>
        </w:rPr>
        <w:t>Показатели ввода в эксплуатацию энергоисточников на местных ТЭР в 2016–2020 годах</w:t>
      </w:r>
    </w:p>
    <w:p w:rsidR="00167A62" w:rsidRDefault="00167A62" w:rsidP="00167A62">
      <w:pPr>
        <w:widowControl w:val="0"/>
        <w:autoSpaceDE w:val="0"/>
        <w:autoSpaceDN w:val="0"/>
        <w:adjustRightInd w:val="0"/>
        <w:spacing w:after="0" w:line="240" w:lineRule="auto"/>
        <w:jc w:val="right"/>
        <w:rPr>
          <w:rFonts w:ascii="Times New Roman" w:hAnsi="Times New Roman" w:cs="Times New Roman"/>
          <w:color w:val="000000"/>
          <w:sz w:val="24"/>
          <w:szCs w:val="24"/>
        </w:rPr>
      </w:pPr>
      <w:bookmarkStart w:id="41" w:name="CA0_ГСП__1_ПРЛ_6_11_ТБЛ_1_7"/>
      <w:bookmarkEnd w:id="41"/>
      <w:r>
        <w:rPr>
          <w:rFonts w:ascii="Times New Roman" w:hAnsi="Times New Roman" w:cs="Times New Roman"/>
          <w:color w:val="000000"/>
          <w:sz w:val="24"/>
          <w:szCs w:val="24"/>
        </w:rPr>
        <w:t>Таблица 1</w:t>
      </w:r>
    </w:p>
    <w:p w:rsidR="00167A62" w:rsidRDefault="00167A62" w:rsidP="00167A62">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rsidP="00167A62">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Сводные показатели</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1176"/>
        <w:gridCol w:w="588"/>
        <w:gridCol w:w="588"/>
        <w:gridCol w:w="1031"/>
        <w:gridCol w:w="588"/>
        <w:gridCol w:w="588"/>
        <w:gridCol w:w="1031"/>
        <w:gridCol w:w="588"/>
        <w:gridCol w:w="588"/>
        <w:gridCol w:w="1031"/>
        <w:gridCol w:w="588"/>
        <w:gridCol w:w="588"/>
        <w:gridCol w:w="1032"/>
        <w:gridCol w:w="589"/>
        <w:gridCol w:w="589"/>
        <w:gridCol w:w="1032"/>
        <w:gridCol w:w="589"/>
        <w:gridCol w:w="589"/>
        <w:gridCol w:w="1177"/>
      </w:tblGrid>
      <w:tr w:rsidR="00167A62" w:rsidRPr="00167A62">
        <w:trPr>
          <w:trHeight w:val="240"/>
        </w:trPr>
        <w:tc>
          <w:tcPr>
            <w:tcW w:w="400" w:type="pct"/>
            <w:vMerge w:val="restart"/>
            <w:tcBorders>
              <w:top w:val="single" w:sz="2" w:space="0" w:color="000000"/>
              <w:left w:val="nil"/>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 xml:space="preserve">Наименование </w:t>
            </w:r>
            <w:r w:rsidRPr="00167A62">
              <w:rPr>
                <w:rFonts w:ascii="Times New Roman" w:hAnsi="Times New Roman" w:cs="Times New Roman"/>
                <w:color w:val="000000"/>
                <w:sz w:val="16"/>
                <w:szCs w:val="16"/>
              </w:rPr>
              <w:br/>
              <w:t>областей</w:t>
            </w:r>
          </w:p>
        </w:tc>
        <w:tc>
          <w:tcPr>
            <w:tcW w:w="750" w:type="pct"/>
            <w:gridSpan w:val="3"/>
            <w:tcBorders>
              <w:top w:val="single" w:sz="2"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Всего</w:t>
            </w:r>
          </w:p>
        </w:tc>
        <w:tc>
          <w:tcPr>
            <w:tcW w:w="3800" w:type="pct"/>
            <w:gridSpan w:val="15"/>
            <w:tcBorders>
              <w:top w:val="single" w:sz="2" w:space="0" w:color="000000"/>
              <w:left w:val="single" w:sz="6" w:space="0" w:color="000000"/>
              <w:bottom w:val="single" w:sz="6" w:space="0" w:color="000000"/>
              <w:right w:val="nil"/>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В том числе по годам</w:t>
            </w:r>
          </w:p>
        </w:tc>
      </w:tr>
      <w:tr w:rsidR="00167A62" w:rsidRPr="00167A62">
        <w:trPr>
          <w:trHeight w:val="240"/>
        </w:trPr>
        <w:tc>
          <w:tcPr>
            <w:tcW w:w="1800" w:type="dxa"/>
            <w:vMerge/>
            <w:tcBorders>
              <w:top w:val="single" w:sz="2" w:space="0" w:color="000000"/>
              <w:left w:val="nil"/>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240" w:lineRule="auto"/>
              <w:rPr>
                <w:rFonts w:ascii="Times New Roman" w:hAnsi="Times New Roman" w:cs="Times New Roman"/>
                <w:color w:val="000000"/>
                <w:sz w:val="16"/>
                <w:szCs w:val="16"/>
              </w:rPr>
            </w:pP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коли-</w:t>
            </w:r>
            <w:r w:rsidRPr="00167A62">
              <w:rPr>
                <w:rFonts w:ascii="Times New Roman" w:hAnsi="Times New Roman" w:cs="Times New Roman"/>
                <w:color w:val="000000"/>
                <w:sz w:val="16"/>
                <w:szCs w:val="16"/>
              </w:rPr>
              <w:br/>
              <w:t>чество энерго-</w:t>
            </w:r>
            <w:r w:rsidRPr="00167A62">
              <w:rPr>
                <w:rFonts w:ascii="Times New Roman" w:hAnsi="Times New Roman" w:cs="Times New Roman"/>
                <w:color w:val="000000"/>
                <w:sz w:val="16"/>
                <w:szCs w:val="16"/>
              </w:rPr>
              <w:br/>
              <w:t>источ-</w:t>
            </w:r>
            <w:r w:rsidRPr="00167A62">
              <w:rPr>
                <w:rFonts w:ascii="Times New Roman" w:hAnsi="Times New Roman" w:cs="Times New Roman"/>
                <w:color w:val="000000"/>
                <w:sz w:val="16"/>
                <w:szCs w:val="16"/>
              </w:rPr>
              <w:br/>
              <w:t>ников</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суммар-</w:t>
            </w:r>
            <w:r w:rsidRPr="00167A62">
              <w:rPr>
                <w:rFonts w:ascii="Times New Roman" w:hAnsi="Times New Roman" w:cs="Times New Roman"/>
                <w:color w:val="000000"/>
                <w:sz w:val="16"/>
                <w:szCs w:val="16"/>
              </w:rPr>
              <w:br/>
              <w:t>ная мощ-</w:t>
            </w:r>
            <w:r w:rsidRPr="00167A62">
              <w:rPr>
                <w:rFonts w:ascii="Times New Roman" w:hAnsi="Times New Roman" w:cs="Times New Roman"/>
                <w:color w:val="000000"/>
                <w:sz w:val="16"/>
                <w:szCs w:val="16"/>
              </w:rPr>
              <w:br/>
              <w:t>ность энерго-</w:t>
            </w:r>
            <w:r w:rsidRPr="00167A62">
              <w:rPr>
                <w:rFonts w:ascii="Times New Roman" w:hAnsi="Times New Roman" w:cs="Times New Roman"/>
                <w:color w:val="000000"/>
                <w:sz w:val="16"/>
                <w:szCs w:val="16"/>
              </w:rPr>
              <w:br/>
              <w:t>источ-</w:t>
            </w:r>
            <w:r w:rsidRPr="00167A62">
              <w:rPr>
                <w:rFonts w:ascii="Times New Roman" w:hAnsi="Times New Roman" w:cs="Times New Roman"/>
                <w:color w:val="000000"/>
                <w:sz w:val="16"/>
                <w:szCs w:val="16"/>
              </w:rPr>
              <w:br/>
              <w:t>ников, МВт</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объем замещен-</w:t>
            </w:r>
            <w:r w:rsidRPr="00167A62">
              <w:rPr>
                <w:rFonts w:ascii="Times New Roman" w:hAnsi="Times New Roman" w:cs="Times New Roman"/>
                <w:color w:val="000000"/>
                <w:sz w:val="16"/>
                <w:szCs w:val="16"/>
              </w:rPr>
              <w:br/>
              <w:t xml:space="preserve">ного природного газа, т.у.т. </w:t>
            </w:r>
          </w:p>
        </w:tc>
        <w:tc>
          <w:tcPr>
            <w:tcW w:w="750" w:type="pct"/>
            <w:gridSpan w:val="3"/>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2016</w:t>
            </w:r>
          </w:p>
        </w:tc>
        <w:tc>
          <w:tcPr>
            <w:tcW w:w="750" w:type="pct"/>
            <w:gridSpan w:val="3"/>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2017</w:t>
            </w:r>
          </w:p>
        </w:tc>
        <w:tc>
          <w:tcPr>
            <w:tcW w:w="750" w:type="pct"/>
            <w:gridSpan w:val="3"/>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2018</w:t>
            </w:r>
          </w:p>
        </w:tc>
        <w:tc>
          <w:tcPr>
            <w:tcW w:w="750" w:type="pct"/>
            <w:gridSpan w:val="3"/>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2019</w:t>
            </w:r>
          </w:p>
        </w:tc>
        <w:tc>
          <w:tcPr>
            <w:tcW w:w="750" w:type="pct"/>
            <w:gridSpan w:val="3"/>
            <w:tcBorders>
              <w:top w:val="single" w:sz="6" w:space="0" w:color="000000"/>
              <w:left w:val="single" w:sz="6" w:space="0" w:color="000000"/>
              <w:bottom w:val="single" w:sz="6" w:space="0" w:color="000000"/>
              <w:right w:val="nil"/>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2020</w:t>
            </w:r>
          </w:p>
        </w:tc>
      </w:tr>
      <w:tr w:rsidR="00167A62" w:rsidRPr="00167A62">
        <w:trPr>
          <w:trHeight w:val="240"/>
        </w:trPr>
        <w:tc>
          <w:tcPr>
            <w:tcW w:w="1800" w:type="dxa"/>
            <w:vMerge/>
            <w:tcBorders>
              <w:top w:val="single" w:sz="2" w:space="0" w:color="000000"/>
              <w:left w:val="nil"/>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240" w:lineRule="auto"/>
              <w:rPr>
                <w:rFonts w:ascii="Times New Roman" w:hAnsi="Times New Roman" w:cs="Times New Roman"/>
                <w:color w:val="000000"/>
                <w:sz w:val="16"/>
                <w:szCs w:val="16"/>
              </w:rPr>
            </w:pPr>
          </w:p>
        </w:tc>
        <w:tc>
          <w:tcPr>
            <w:tcW w:w="960" w:type="dxa"/>
            <w:vMerge/>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240" w:lineRule="auto"/>
              <w:rPr>
                <w:rFonts w:ascii="Times New Roman" w:hAnsi="Times New Roman" w:cs="Times New Roman"/>
                <w:color w:val="000000"/>
                <w:sz w:val="16"/>
                <w:szCs w:val="16"/>
              </w:rPr>
            </w:pPr>
          </w:p>
        </w:tc>
        <w:tc>
          <w:tcPr>
            <w:tcW w:w="960" w:type="dxa"/>
            <w:vMerge/>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240" w:lineRule="auto"/>
              <w:rPr>
                <w:rFonts w:ascii="Times New Roman" w:hAnsi="Times New Roman" w:cs="Times New Roman"/>
                <w:color w:val="000000"/>
                <w:sz w:val="16"/>
                <w:szCs w:val="16"/>
              </w:rPr>
            </w:pPr>
          </w:p>
        </w:tc>
        <w:tc>
          <w:tcPr>
            <w:tcW w:w="1470" w:type="dxa"/>
            <w:vMerge/>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240" w:lineRule="auto"/>
              <w:rPr>
                <w:rFonts w:ascii="Times New Roman" w:hAnsi="Times New Roman" w:cs="Times New Roman"/>
                <w:color w:val="000000"/>
                <w:sz w:val="16"/>
                <w:szCs w:val="16"/>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коли-</w:t>
            </w:r>
            <w:r w:rsidRPr="00167A62">
              <w:rPr>
                <w:rFonts w:ascii="Times New Roman" w:hAnsi="Times New Roman" w:cs="Times New Roman"/>
                <w:color w:val="000000"/>
                <w:sz w:val="16"/>
                <w:szCs w:val="16"/>
              </w:rPr>
              <w:br/>
              <w:t>чество энерго-</w:t>
            </w:r>
            <w:r w:rsidRPr="00167A62">
              <w:rPr>
                <w:rFonts w:ascii="Times New Roman" w:hAnsi="Times New Roman" w:cs="Times New Roman"/>
                <w:color w:val="000000"/>
                <w:sz w:val="16"/>
                <w:szCs w:val="16"/>
              </w:rPr>
              <w:br/>
              <w:t>источ-</w:t>
            </w:r>
            <w:r w:rsidRPr="00167A62">
              <w:rPr>
                <w:rFonts w:ascii="Times New Roman" w:hAnsi="Times New Roman" w:cs="Times New Roman"/>
                <w:color w:val="000000"/>
                <w:sz w:val="16"/>
                <w:szCs w:val="16"/>
              </w:rPr>
              <w:br/>
              <w:t>ников</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суммар-</w:t>
            </w:r>
            <w:r w:rsidRPr="00167A62">
              <w:rPr>
                <w:rFonts w:ascii="Times New Roman" w:hAnsi="Times New Roman" w:cs="Times New Roman"/>
                <w:color w:val="000000"/>
                <w:sz w:val="16"/>
                <w:szCs w:val="16"/>
              </w:rPr>
              <w:br/>
              <w:t>ная мощ-</w:t>
            </w:r>
            <w:r w:rsidRPr="00167A62">
              <w:rPr>
                <w:rFonts w:ascii="Times New Roman" w:hAnsi="Times New Roman" w:cs="Times New Roman"/>
                <w:color w:val="000000"/>
                <w:sz w:val="16"/>
                <w:szCs w:val="16"/>
              </w:rPr>
              <w:br/>
              <w:t>ность, МВт</w:t>
            </w:r>
          </w:p>
        </w:tc>
        <w:tc>
          <w:tcPr>
            <w:tcW w:w="3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объем замещен-</w:t>
            </w:r>
            <w:r w:rsidRPr="00167A62">
              <w:rPr>
                <w:rFonts w:ascii="Times New Roman" w:hAnsi="Times New Roman" w:cs="Times New Roman"/>
                <w:color w:val="000000"/>
                <w:sz w:val="16"/>
                <w:szCs w:val="16"/>
              </w:rPr>
              <w:br/>
              <w:t xml:space="preserve">ного природного газа, т.у.т. </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коли-</w:t>
            </w:r>
            <w:r w:rsidRPr="00167A62">
              <w:rPr>
                <w:rFonts w:ascii="Times New Roman" w:hAnsi="Times New Roman" w:cs="Times New Roman"/>
                <w:color w:val="000000"/>
                <w:sz w:val="16"/>
                <w:szCs w:val="16"/>
              </w:rPr>
              <w:br/>
              <w:t>чество энерго-</w:t>
            </w:r>
            <w:r w:rsidRPr="00167A62">
              <w:rPr>
                <w:rFonts w:ascii="Times New Roman" w:hAnsi="Times New Roman" w:cs="Times New Roman"/>
                <w:color w:val="000000"/>
                <w:sz w:val="16"/>
                <w:szCs w:val="16"/>
              </w:rPr>
              <w:br/>
              <w:t>источ-</w:t>
            </w:r>
            <w:r w:rsidRPr="00167A62">
              <w:rPr>
                <w:rFonts w:ascii="Times New Roman" w:hAnsi="Times New Roman" w:cs="Times New Roman"/>
                <w:color w:val="000000"/>
                <w:sz w:val="16"/>
                <w:szCs w:val="16"/>
              </w:rPr>
              <w:br/>
              <w:t>ников</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суммар-</w:t>
            </w:r>
            <w:r w:rsidRPr="00167A62">
              <w:rPr>
                <w:rFonts w:ascii="Times New Roman" w:hAnsi="Times New Roman" w:cs="Times New Roman"/>
                <w:color w:val="000000"/>
                <w:sz w:val="16"/>
                <w:szCs w:val="16"/>
              </w:rPr>
              <w:br/>
              <w:t>ная мощ-</w:t>
            </w:r>
            <w:r w:rsidRPr="00167A62">
              <w:rPr>
                <w:rFonts w:ascii="Times New Roman" w:hAnsi="Times New Roman" w:cs="Times New Roman"/>
                <w:color w:val="000000"/>
                <w:sz w:val="16"/>
                <w:szCs w:val="16"/>
              </w:rPr>
              <w:br/>
              <w:t>ность, МВт</w:t>
            </w:r>
          </w:p>
        </w:tc>
        <w:tc>
          <w:tcPr>
            <w:tcW w:w="3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объем замещен-</w:t>
            </w:r>
            <w:r w:rsidRPr="00167A62">
              <w:rPr>
                <w:rFonts w:ascii="Times New Roman" w:hAnsi="Times New Roman" w:cs="Times New Roman"/>
                <w:color w:val="000000"/>
                <w:sz w:val="16"/>
                <w:szCs w:val="16"/>
              </w:rPr>
              <w:br/>
              <w:t xml:space="preserve">ного природного газа, т.у.т. </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коли-</w:t>
            </w:r>
            <w:r w:rsidRPr="00167A62">
              <w:rPr>
                <w:rFonts w:ascii="Times New Roman" w:hAnsi="Times New Roman" w:cs="Times New Roman"/>
                <w:color w:val="000000"/>
                <w:sz w:val="16"/>
                <w:szCs w:val="16"/>
              </w:rPr>
              <w:br/>
              <w:t>чество энерго-</w:t>
            </w:r>
            <w:r w:rsidRPr="00167A62">
              <w:rPr>
                <w:rFonts w:ascii="Times New Roman" w:hAnsi="Times New Roman" w:cs="Times New Roman"/>
                <w:color w:val="000000"/>
                <w:sz w:val="16"/>
                <w:szCs w:val="16"/>
              </w:rPr>
              <w:br/>
              <w:t>источ-</w:t>
            </w:r>
            <w:r w:rsidRPr="00167A62">
              <w:rPr>
                <w:rFonts w:ascii="Times New Roman" w:hAnsi="Times New Roman" w:cs="Times New Roman"/>
                <w:color w:val="000000"/>
                <w:sz w:val="16"/>
                <w:szCs w:val="16"/>
              </w:rPr>
              <w:br/>
              <w:t>ников</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суммар-</w:t>
            </w:r>
            <w:r w:rsidRPr="00167A62">
              <w:rPr>
                <w:rFonts w:ascii="Times New Roman" w:hAnsi="Times New Roman" w:cs="Times New Roman"/>
                <w:color w:val="000000"/>
                <w:sz w:val="16"/>
                <w:szCs w:val="16"/>
              </w:rPr>
              <w:br/>
              <w:t>ная мощ-</w:t>
            </w:r>
            <w:r w:rsidRPr="00167A62">
              <w:rPr>
                <w:rFonts w:ascii="Times New Roman" w:hAnsi="Times New Roman" w:cs="Times New Roman"/>
                <w:color w:val="000000"/>
                <w:sz w:val="16"/>
                <w:szCs w:val="16"/>
              </w:rPr>
              <w:br/>
              <w:t>ность, МВт</w:t>
            </w:r>
          </w:p>
        </w:tc>
        <w:tc>
          <w:tcPr>
            <w:tcW w:w="3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объем замещен-</w:t>
            </w:r>
            <w:r w:rsidRPr="00167A62">
              <w:rPr>
                <w:rFonts w:ascii="Times New Roman" w:hAnsi="Times New Roman" w:cs="Times New Roman"/>
                <w:color w:val="000000"/>
                <w:sz w:val="16"/>
                <w:szCs w:val="16"/>
              </w:rPr>
              <w:br/>
              <w:t xml:space="preserve">ного природного газа, т.у.т. </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коли-</w:t>
            </w:r>
            <w:r w:rsidRPr="00167A62">
              <w:rPr>
                <w:rFonts w:ascii="Times New Roman" w:hAnsi="Times New Roman" w:cs="Times New Roman"/>
                <w:color w:val="000000"/>
                <w:sz w:val="16"/>
                <w:szCs w:val="16"/>
              </w:rPr>
              <w:br/>
              <w:t>чество энерго-</w:t>
            </w:r>
            <w:r w:rsidRPr="00167A62">
              <w:rPr>
                <w:rFonts w:ascii="Times New Roman" w:hAnsi="Times New Roman" w:cs="Times New Roman"/>
                <w:color w:val="000000"/>
                <w:sz w:val="16"/>
                <w:szCs w:val="16"/>
              </w:rPr>
              <w:br/>
              <w:t>источ-</w:t>
            </w:r>
            <w:r w:rsidRPr="00167A62">
              <w:rPr>
                <w:rFonts w:ascii="Times New Roman" w:hAnsi="Times New Roman" w:cs="Times New Roman"/>
                <w:color w:val="000000"/>
                <w:sz w:val="16"/>
                <w:szCs w:val="16"/>
              </w:rPr>
              <w:br/>
              <w:t>ников</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суммар-ная мощ-</w:t>
            </w:r>
            <w:r w:rsidRPr="00167A62">
              <w:rPr>
                <w:rFonts w:ascii="Times New Roman" w:hAnsi="Times New Roman" w:cs="Times New Roman"/>
                <w:color w:val="000000"/>
                <w:sz w:val="16"/>
                <w:szCs w:val="16"/>
              </w:rPr>
              <w:br/>
              <w:t>ность, МВт</w:t>
            </w:r>
          </w:p>
        </w:tc>
        <w:tc>
          <w:tcPr>
            <w:tcW w:w="3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объем замещен-</w:t>
            </w:r>
            <w:r w:rsidRPr="00167A62">
              <w:rPr>
                <w:rFonts w:ascii="Times New Roman" w:hAnsi="Times New Roman" w:cs="Times New Roman"/>
                <w:color w:val="000000"/>
                <w:sz w:val="16"/>
                <w:szCs w:val="16"/>
              </w:rPr>
              <w:br/>
              <w:t xml:space="preserve">ного природного газа, т.у.т. </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коли-</w:t>
            </w:r>
            <w:r w:rsidRPr="00167A62">
              <w:rPr>
                <w:rFonts w:ascii="Times New Roman" w:hAnsi="Times New Roman" w:cs="Times New Roman"/>
                <w:color w:val="000000"/>
                <w:sz w:val="16"/>
                <w:szCs w:val="16"/>
              </w:rPr>
              <w:br/>
              <w:t>чество энерго-</w:t>
            </w:r>
            <w:r w:rsidRPr="00167A62">
              <w:rPr>
                <w:rFonts w:ascii="Times New Roman" w:hAnsi="Times New Roman" w:cs="Times New Roman"/>
                <w:color w:val="000000"/>
                <w:sz w:val="16"/>
                <w:szCs w:val="16"/>
              </w:rPr>
              <w:br/>
              <w:t>источ-</w:t>
            </w:r>
            <w:r w:rsidRPr="00167A62">
              <w:rPr>
                <w:rFonts w:ascii="Times New Roman" w:hAnsi="Times New Roman" w:cs="Times New Roman"/>
                <w:color w:val="000000"/>
                <w:sz w:val="16"/>
                <w:szCs w:val="16"/>
              </w:rPr>
              <w:br/>
              <w:t>ников</w:t>
            </w:r>
          </w:p>
        </w:tc>
        <w:tc>
          <w:tcPr>
            <w:tcW w:w="200" w:type="pct"/>
            <w:tcBorders>
              <w:top w:val="single" w:sz="6" w:space="0" w:color="000000"/>
              <w:left w:val="single" w:sz="6" w:space="0" w:color="000000"/>
              <w:bottom w:val="single" w:sz="6" w:space="0" w:color="000000"/>
              <w:right w:val="single" w:sz="6" w:space="0" w:color="000000"/>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суммар-</w:t>
            </w:r>
            <w:r w:rsidRPr="00167A62">
              <w:rPr>
                <w:rFonts w:ascii="Times New Roman" w:hAnsi="Times New Roman" w:cs="Times New Roman"/>
                <w:color w:val="000000"/>
                <w:sz w:val="16"/>
                <w:szCs w:val="16"/>
              </w:rPr>
              <w:br/>
              <w:t>ная мощ-</w:t>
            </w:r>
            <w:r w:rsidRPr="00167A62">
              <w:rPr>
                <w:rFonts w:ascii="Times New Roman" w:hAnsi="Times New Roman" w:cs="Times New Roman"/>
                <w:color w:val="000000"/>
                <w:sz w:val="16"/>
                <w:szCs w:val="16"/>
              </w:rPr>
              <w:br/>
              <w:t>ность, МВт</w:t>
            </w:r>
          </w:p>
        </w:tc>
        <w:tc>
          <w:tcPr>
            <w:tcW w:w="300" w:type="pct"/>
            <w:tcBorders>
              <w:top w:val="single" w:sz="6" w:space="0" w:color="000000"/>
              <w:left w:val="single" w:sz="6" w:space="0" w:color="000000"/>
              <w:bottom w:val="single" w:sz="6" w:space="0" w:color="000000"/>
              <w:right w:val="nil"/>
            </w:tcBorders>
            <w:vAlign w:val="center"/>
          </w:tcPr>
          <w:p w:rsidR="00167A62" w:rsidRPr="00167A62" w:rsidRDefault="00167A62">
            <w:pPr>
              <w:widowControl w:val="0"/>
              <w:autoSpaceDE w:val="0"/>
              <w:autoSpaceDN w:val="0"/>
              <w:adjustRightInd w:val="0"/>
              <w:spacing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объем замещен-</w:t>
            </w:r>
            <w:r w:rsidRPr="00167A62">
              <w:rPr>
                <w:rFonts w:ascii="Times New Roman" w:hAnsi="Times New Roman" w:cs="Times New Roman"/>
                <w:color w:val="000000"/>
                <w:sz w:val="16"/>
                <w:szCs w:val="16"/>
              </w:rPr>
              <w:br/>
              <w:t xml:space="preserve">ного природного газа, т.у.т. </w:t>
            </w:r>
          </w:p>
        </w:tc>
      </w:tr>
      <w:tr w:rsidR="00167A62" w:rsidRPr="00167A62">
        <w:trPr>
          <w:trHeight w:val="240"/>
        </w:trPr>
        <w:tc>
          <w:tcPr>
            <w:tcW w:w="400" w:type="pct"/>
            <w:tcBorders>
              <w:top w:val="single" w:sz="6" w:space="0" w:color="000000"/>
              <w:left w:val="nil"/>
              <w:bottom w:val="nil"/>
              <w:right w:val="nil"/>
            </w:tcBorders>
          </w:tcPr>
          <w:p w:rsidR="00167A62" w:rsidRPr="00167A62" w:rsidRDefault="00167A62">
            <w:pPr>
              <w:widowControl w:val="0"/>
              <w:autoSpaceDE w:val="0"/>
              <w:autoSpaceDN w:val="0"/>
              <w:adjustRightInd w:val="0"/>
              <w:spacing w:before="120" w:after="0" w:line="300" w:lineRule="auto"/>
              <w:rPr>
                <w:rFonts w:ascii="Times New Roman" w:hAnsi="Times New Roman" w:cs="Times New Roman"/>
                <w:color w:val="000000"/>
                <w:sz w:val="16"/>
                <w:szCs w:val="16"/>
              </w:rPr>
            </w:pPr>
            <w:r w:rsidRPr="00167A62">
              <w:rPr>
                <w:rFonts w:ascii="Times New Roman" w:hAnsi="Times New Roman" w:cs="Times New Roman"/>
                <w:color w:val="000000"/>
                <w:sz w:val="16"/>
                <w:szCs w:val="16"/>
              </w:rPr>
              <w:t>Брестская</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18</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92,5</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21 240</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16,1</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4 480</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6</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34,5</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7 480</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14,0</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2 000</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27,9</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7 280</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16"/>
                <w:szCs w:val="16"/>
              </w:rPr>
            </w:pPr>
            <w:r w:rsidRPr="00167A62">
              <w:rPr>
                <w:rFonts w:ascii="Times New Roman" w:hAnsi="Times New Roman" w:cs="Times New Roman"/>
                <w:color w:val="000000"/>
                <w:sz w:val="16"/>
                <w:szCs w:val="16"/>
              </w:rPr>
              <w:t>–</w:t>
            </w:r>
          </w:p>
        </w:tc>
      </w:tr>
      <w:tr w:rsidR="00167A62" w:rsidRPr="00167A62">
        <w:trPr>
          <w:trHeight w:val="240"/>
        </w:trPr>
        <w:tc>
          <w:tcPr>
            <w:tcW w:w="400" w:type="pct"/>
            <w:tcBorders>
              <w:top w:val="nil"/>
              <w:left w:val="nil"/>
              <w:bottom w:val="nil"/>
              <w:right w:val="nil"/>
            </w:tcBorders>
          </w:tcPr>
          <w:p w:rsidR="00167A62" w:rsidRPr="00167A62" w:rsidRDefault="00167A62">
            <w:pPr>
              <w:widowControl w:val="0"/>
              <w:autoSpaceDE w:val="0"/>
              <w:autoSpaceDN w:val="0"/>
              <w:adjustRightInd w:val="0"/>
              <w:spacing w:before="120" w:after="0" w:line="300" w:lineRule="auto"/>
              <w:rPr>
                <w:rFonts w:ascii="Times New Roman" w:hAnsi="Times New Roman" w:cs="Times New Roman"/>
                <w:color w:val="000000"/>
                <w:sz w:val="16"/>
                <w:szCs w:val="16"/>
              </w:rPr>
            </w:pPr>
            <w:r w:rsidRPr="00167A62">
              <w:rPr>
                <w:rFonts w:ascii="Times New Roman" w:hAnsi="Times New Roman" w:cs="Times New Roman"/>
                <w:color w:val="000000"/>
                <w:sz w:val="16"/>
                <w:szCs w:val="16"/>
              </w:rPr>
              <w:t xml:space="preserve">Витебская </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9</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39,0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9 464</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424</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19,0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3 710</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1 220</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1 310</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7,0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2 800</w:t>
            </w:r>
          </w:p>
        </w:tc>
      </w:tr>
      <w:tr w:rsidR="00167A62" w:rsidRPr="00167A62">
        <w:trPr>
          <w:trHeight w:val="240"/>
        </w:trPr>
        <w:tc>
          <w:tcPr>
            <w:tcW w:w="400" w:type="pct"/>
            <w:tcBorders>
              <w:top w:val="nil"/>
              <w:left w:val="nil"/>
              <w:bottom w:val="nil"/>
              <w:right w:val="nil"/>
            </w:tcBorders>
          </w:tcPr>
          <w:p w:rsidR="00167A62" w:rsidRPr="00167A62" w:rsidRDefault="00167A62">
            <w:pPr>
              <w:widowControl w:val="0"/>
              <w:autoSpaceDE w:val="0"/>
              <w:autoSpaceDN w:val="0"/>
              <w:adjustRightInd w:val="0"/>
              <w:spacing w:before="120" w:after="0" w:line="300" w:lineRule="auto"/>
              <w:rPr>
                <w:rFonts w:ascii="Times New Roman" w:hAnsi="Times New Roman" w:cs="Times New Roman"/>
                <w:color w:val="000000"/>
                <w:sz w:val="16"/>
                <w:szCs w:val="16"/>
              </w:rPr>
            </w:pPr>
            <w:r w:rsidRPr="00167A62">
              <w:rPr>
                <w:rFonts w:ascii="Times New Roman" w:hAnsi="Times New Roman" w:cs="Times New Roman"/>
                <w:color w:val="000000"/>
                <w:sz w:val="16"/>
                <w:szCs w:val="16"/>
              </w:rPr>
              <w:t xml:space="preserve">Гомельская </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18</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211,1</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157 397</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8,0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2 114</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10,8</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2 875</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20,7</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14 030</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15,2</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7 763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156,5</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130 615</w:t>
            </w:r>
          </w:p>
        </w:tc>
      </w:tr>
      <w:tr w:rsidR="00167A62" w:rsidRPr="00167A62">
        <w:trPr>
          <w:trHeight w:val="240"/>
        </w:trPr>
        <w:tc>
          <w:tcPr>
            <w:tcW w:w="400" w:type="pct"/>
            <w:tcBorders>
              <w:top w:val="nil"/>
              <w:left w:val="nil"/>
              <w:bottom w:val="nil"/>
              <w:right w:val="nil"/>
            </w:tcBorders>
          </w:tcPr>
          <w:p w:rsidR="00167A62" w:rsidRPr="00167A62" w:rsidRDefault="00167A62">
            <w:pPr>
              <w:widowControl w:val="0"/>
              <w:autoSpaceDE w:val="0"/>
              <w:autoSpaceDN w:val="0"/>
              <w:adjustRightInd w:val="0"/>
              <w:spacing w:before="120" w:after="0" w:line="300" w:lineRule="auto"/>
              <w:rPr>
                <w:rFonts w:ascii="Times New Roman" w:hAnsi="Times New Roman" w:cs="Times New Roman"/>
                <w:color w:val="000000"/>
                <w:sz w:val="16"/>
                <w:szCs w:val="16"/>
              </w:rPr>
            </w:pPr>
            <w:r w:rsidRPr="00167A62">
              <w:rPr>
                <w:rFonts w:ascii="Times New Roman" w:hAnsi="Times New Roman" w:cs="Times New Roman"/>
                <w:color w:val="000000"/>
                <w:sz w:val="16"/>
                <w:szCs w:val="16"/>
              </w:rPr>
              <w:t xml:space="preserve">Гродненская </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16</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105,3</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21 856</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9,8</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2 947</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27,0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2 629</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18,5</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1 889</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10,0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1 061</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40,0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13 331</w:t>
            </w:r>
          </w:p>
        </w:tc>
      </w:tr>
      <w:tr w:rsidR="00167A62" w:rsidRPr="00167A62">
        <w:trPr>
          <w:trHeight w:val="240"/>
        </w:trPr>
        <w:tc>
          <w:tcPr>
            <w:tcW w:w="400" w:type="pct"/>
            <w:tcBorders>
              <w:top w:val="nil"/>
              <w:left w:val="nil"/>
              <w:bottom w:val="nil"/>
              <w:right w:val="nil"/>
            </w:tcBorders>
          </w:tcPr>
          <w:p w:rsidR="00167A62" w:rsidRPr="00167A62" w:rsidRDefault="00167A62">
            <w:pPr>
              <w:widowControl w:val="0"/>
              <w:autoSpaceDE w:val="0"/>
              <w:autoSpaceDN w:val="0"/>
              <w:adjustRightInd w:val="0"/>
              <w:spacing w:before="120" w:after="0" w:line="300" w:lineRule="auto"/>
              <w:rPr>
                <w:rFonts w:ascii="Times New Roman" w:hAnsi="Times New Roman" w:cs="Times New Roman"/>
                <w:color w:val="000000"/>
                <w:sz w:val="16"/>
                <w:szCs w:val="16"/>
              </w:rPr>
            </w:pPr>
            <w:r w:rsidRPr="00167A62">
              <w:rPr>
                <w:rFonts w:ascii="Times New Roman" w:hAnsi="Times New Roman" w:cs="Times New Roman"/>
                <w:color w:val="000000"/>
                <w:sz w:val="16"/>
                <w:szCs w:val="16"/>
              </w:rPr>
              <w:t xml:space="preserve">Минская </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141,5</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46 980</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6</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23,1</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4 880</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7</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43,8</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15 575</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18,6</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6 613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34,0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12 089</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w:t>
            </w:r>
          </w:p>
        </w:tc>
        <w:tc>
          <w:tcPr>
            <w:tcW w:w="2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22,0</w:t>
            </w:r>
          </w:p>
        </w:tc>
        <w:tc>
          <w:tcPr>
            <w:tcW w:w="300" w:type="pct"/>
            <w:tcBorders>
              <w:top w:val="nil"/>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7 822</w:t>
            </w:r>
          </w:p>
        </w:tc>
      </w:tr>
      <w:tr w:rsidR="00167A62" w:rsidRPr="00167A62">
        <w:trPr>
          <w:trHeight w:val="240"/>
        </w:trPr>
        <w:tc>
          <w:tcPr>
            <w:tcW w:w="400" w:type="pct"/>
            <w:tcBorders>
              <w:top w:val="nil"/>
              <w:left w:val="nil"/>
              <w:bottom w:val="single" w:sz="6" w:space="0" w:color="auto"/>
              <w:right w:val="nil"/>
            </w:tcBorders>
          </w:tcPr>
          <w:p w:rsidR="00167A62" w:rsidRPr="00167A62" w:rsidRDefault="00167A62">
            <w:pPr>
              <w:widowControl w:val="0"/>
              <w:autoSpaceDE w:val="0"/>
              <w:autoSpaceDN w:val="0"/>
              <w:adjustRightInd w:val="0"/>
              <w:spacing w:before="120" w:after="0" w:line="300" w:lineRule="auto"/>
              <w:rPr>
                <w:rFonts w:ascii="Times New Roman" w:hAnsi="Times New Roman" w:cs="Times New Roman"/>
                <w:color w:val="000000"/>
                <w:sz w:val="16"/>
                <w:szCs w:val="16"/>
              </w:rPr>
            </w:pPr>
            <w:r w:rsidRPr="00167A62">
              <w:rPr>
                <w:rFonts w:ascii="Times New Roman" w:hAnsi="Times New Roman" w:cs="Times New Roman"/>
                <w:color w:val="000000"/>
                <w:sz w:val="16"/>
                <w:szCs w:val="16"/>
              </w:rPr>
              <w:t xml:space="preserve">Могилевская </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44</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88,7</w:t>
            </w:r>
          </w:p>
        </w:tc>
        <w:tc>
          <w:tcPr>
            <w:tcW w:w="3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22 557</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13,2</w:t>
            </w:r>
          </w:p>
        </w:tc>
        <w:tc>
          <w:tcPr>
            <w:tcW w:w="3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3 719</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8</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12,0</w:t>
            </w:r>
          </w:p>
        </w:tc>
        <w:tc>
          <w:tcPr>
            <w:tcW w:w="3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3 211</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11</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18,0</w:t>
            </w:r>
          </w:p>
        </w:tc>
        <w:tc>
          <w:tcPr>
            <w:tcW w:w="3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4 631</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11</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20,5</w:t>
            </w:r>
          </w:p>
        </w:tc>
        <w:tc>
          <w:tcPr>
            <w:tcW w:w="3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5 625</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11</w:t>
            </w:r>
          </w:p>
        </w:tc>
        <w:tc>
          <w:tcPr>
            <w:tcW w:w="2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25,0</w:t>
            </w:r>
          </w:p>
        </w:tc>
        <w:tc>
          <w:tcPr>
            <w:tcW w:w="300" w:type="pct"/>
            <w:tcBorders>
              <w:top w:val="nil"/>
              <w:left w:val="nil"/>
              <w:bottom w:val="single" w:sz="6" w:space="0" w:color="auto"/>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5 371</w:t>
            </w:r>
          </w:p>
        </w:tc>
      </w:tr>
      <w:tr w:rsidR="00167A62" w:rsidRPr="00167A62">
        <w:trPr>
          <w:trHeight w:val="240"/>
        </w:trPr>
        <w:tc>
          <w:tcPr>
            <w:tcW w:w="400" w:type="pct"/>
            <w:tcBorders>
              <w:top w:val="single" w:sz="6" w:space="0" w:color="000000"/>
              <w:left w:val="nil"/>
              <w:bottom w:val="nil"/>
              <w:right w:val="nil"/>
            </w:tcBorders>
          </w:tcPr>
          <w:p w:rsidR="00167A62" w:rsidRP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16"/>
                <w:szCs w:val="16"/>
              </w:rPr>
            </w:pPr>
            <w:r w:rsidRPr="00167A62">
              <w:rPr>
                <w:rFonts w:ascii="Times New Roman" w:hAnsi="Times New Roman" w:cs="Times New Roman"/>
                <w:color w:val="000000"/>
                <w:sz w:val="16"/>
                <w:szCs w:val="16"/>
              </w:rPr>
              <w:t>Итого</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128</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678,1</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279 494</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22</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73,2</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18 564</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33</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147,1</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35 480</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28</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94,8</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30 383</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25</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132,6</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35 128</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20</w:t>
            </w:r>
          </w:p>
        </w:tc>
        <w:tc>
          <w:tcPr>
            <w:tcW w:w="2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239,4</w:t>
            </w:r>
          </w:p>
        </w:tc>
        <w:tc>
          <w:tcPr>
            <w:tcW w:w="300" w:type="pct"/>
            <w:tcBorders>
              <w:top w:val="single" w:sz="6" w:space="0" w:color="000000"/>
              <w:left w:val="nil"/>
              <w:bottom w:val="nil"/>
              <w:right w:val="nil"/>
            </w:tcBorders>
            <w:vAlign w:val="bottom"/>
          </w:tcPr>
          <w:p w:rsidR="00167A62" w:rsidRPr="00167A62" w:rsidRDefault="00167A62">
            <w:pPr>
              <w:widowControl w:val="0"/>
              <w:autoSpaceDE w:val="0"/>
              <w:autoSpaceDN w:val="0"/>
              <w:adjustRightInd w:val="0"/>
              <w:spacing w:before="120" w:after="0" w:line="300" w:lineRule="auto"/>
              <w:jc w:val="right"/>
              <w:rPr>
                <w:rFonts w:ascii="Times New Roman" w:hAnsi="Times New Roman" w:cs="Times New Roman"/>
                <w:color w:val="000000"/>
                <w:sz w:val="16"/>
                <w:szCs w:val="16"/>
              </w:rPr>
            </w:pPr>
            <w:r w:rsidRPr="00167A62">
              <w:rPr>
                <w:rFonts w:ascii="Times New Roman" w:hAnsi="Times New Roman" w:cs="Times New Roman"/>
                <w:color w:val="000000"/>
                <w:sz w:val="16"/>
                <w:szCs w:val="16"/>
              </w:rPr>
              <w:t>159 939</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42" w:name="CA0_ГСП__1_ПРЛ_6_11_ТБЛ_2_8"/>
      <w:bookmarkEnd w:id="42"/>
      <w:r>
        <w:rPr>
          <w:rFonts w:ascii="Times New Roman" w:hAnsi="Times New Roman" w:cs="Times New Roman"/>
          <w:color w:val="000000"/>
          <w:sz w:val="24"/>
          <w:szCs w:val="24"/>
        </w:rPr>
        <w:lastRenderedPageBreak/>
        <w:t>Таблица 2</w:t>
      </w:r>
    </w:p>
    <w:p w:rsidR="00167A62" w:rsidRDefault="00167A62">
      <w:pPr>
        <w:widowControl w:val="0"/>
        <w:autoSpaceDE w:val="0"/>
        <w:autoSpaceDN w:val="0"/>
        <w:adjustRightInd w:val="0"/>
        <w:spacing w:after="0" w:line="300" w:lineRule="auto"/>
        <w:jc w:val="both"/>
        <w:rPr>
          <w:rFonts w:ascii="Times New Roman" w:hAnsi="Times New Roman" w:cs="Times New Roman"/>
          <w:b/>
          <w:color w:val="000000"/>
          <w:sz w:val="24"/>
          <w:szCs w:val="24"/>
        </w:rPr>
      </w:pPr>
      <w:bookmarkStart w:id="43" w:name="CA0_ГСП__1_ПРЛ_6_11_ПРЧ__1"/>
      <w:bookmarkEnd w:id="43"/>
      <w:r>
        <w:rPr>
          <w:rFonts w:ascii="Times New Roman" w:hAnsi="Times New Roman" w:cs="Times New Roman"/>
          <w:b/>
          <w:color w:val="000000"/>
          <w:sz w:val="24"/>
          <w:szCs w:val="24"/>
        </w:rPr>
        <w:t xml:space="preserve">ПЕРЕЧЕНЬ </w:t>
      </w:r>
      <w:r>
        <w:rPr>
          <w:rFonts w:ascii="Times New Roman" w:hAnsi="Times New Roman" w:cs="Times New Roman"/>
          <w:b/>
          <w:color w:val="000000"/>
          <w:sz w:val="24"/>
          <w:szCs w:val="24"/>
        </w:rPr>
        <w:br/>
        <w:t>энергоисточников на местных ТЭР, вводимых в эксплуатацию в 2016–2020 годах</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994"/>
        <w:gridCol w:w="2477"/>
        <w:gridCol w:w="2331"/>
        <w:gridCol w:w="2768"/>
      </w:tblGrid>
      <w:tr w:rsidR="00167A62">
        <w:trPr>
          <w:trHeight w:val="240"/>
        </w:trPr>
        <w:tc>
          <w:tcPr>
            <w:tcW w:w="2400" w:type="pc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объекта</w:t>
            </w:r>
          </w:p>
        </w:tc>
        <w:tc>
          <w:tcPr>
            <w:tcW w:w="850" w:type="pc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Мощность энергоисточника*, МВт</w:t>
            </w:r>
          </w:p>
        </w:tc>
        <w:tc>
          <w:tcPr>
            <w:tcW w:w="800" w:type="pct"/>
            <w:tcBorders>
              <w:top w:val="single" w:sz="2"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ввода в эксплуатацию, год</w:t>
            </w:r>
          </w:p>
        </w:tc>
        <w:tc>
          <w:tcPr>
            <w:tcW w:w="850" w:type="pct"/>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замещаемого природного газа*, т.у.т.</w:t>
            </w:r>
          </w:p>
        </w:tc>
      </w:tr>
      <w:tr w:rsidR="00167A62">
        <w:trPr>
          <w:trHeight w:val="240"/>
        </w:trPr>
        <w:tc>
          <w:tcPr>
            <w:tcW w:w="5000" w:type="pct"/>
            <w:gridSpan w:val="4"/>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Брестская область</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ГУПП «Березовское ЖКХ», г. Береза, ул. Тышкевича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ГУПП «Березовское ЖКХ», дер. Бронная Гора, ул. 70 лет Октября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ГУПП «Березовское ЖКХ», дер. Междулесье, ул. Ленина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КУМПП ЖКХ «Ивановское ЖКХ», г. Иваново, ул. Комарова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КУМПП ЖКХ «Кобринское ЖКХ», дер. Буховичи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КУПП «Барановичи коммунтеплосеть», г. Барановичи, микрорайон Тексер</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КУМПП ЖКХ «Барановичское районное ЖКХ», дер. Столовичи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КУМПП ЖКХ «Кобринское ЖКХ», г. Кобрин, ул. Настасича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КУМПП ЖКХ «Кобринское ЖКХ», г. Кобрин,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КУМПП ЖКХ «Ляховичское ЖКХ», г. Ляховичи, ул. Орловского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КУПП «Барановичи коммунтеплосеть», г. Барановичи, ул. Слонимское шоссе</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КУМПП ЖКХ «Ляховичское ЖКХ», г. Ляховичи, ул. Чкалова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КУМПП ЖКХ «Ивацевичское ЖКХ», г. Коссово, ул. Янки Купалы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КУМПП ЖКХ «Каменецкое ЖКХ», пос. Беловежский, ул. Школьная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КУМПП ЖКХ «Микашевичское ЖКХ», г. Микашевичи, ул. Садовая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КУМПП ЖКХ «Столинское ЖКХ», г. Столин, ул. Терешковой</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 КУМПП ЖКХ «Столинское ЖКХ», дер. Федоры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680</w:t>
            </w:r>
          </w:p>
        </w:tc>
      </w:tr>
      <w:tr w:rsidR="00167A62">
        <w:trPr>
          <w:trHeight w:val="240"/>
        </w:trPr>
        <w:tc>
          <w:tcPr>
            <w:tcW w:w="2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 ОАО «ТБЗ Гатча-Осовский», Жабинковский район, пос. Ленинский</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80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w:t>
            </w:r>
          </w:p>
        </w:tc>
      </w:tr>
      <w:tr w:rsidR="00167A62">
        <w:trPr>
          <w:trHeight w:val="240"/>
        </w:trPr>
        <w:tc>
          <w:tcPr>
            <w:tcW w:w="2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92,45</w:t>
            </w:r>
          </w:p>
        </w:tc>
        <w:tc>
          <w:tcPr>
            <w:tcW w:w="8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21 240</w:t>
            </w:r>
          </w:p>
        </w:tc>
      </w:tr>
      <w:tr w:rsidR="00167A62">
        <w:trPr>
          <w:trHeight w:val="240"/>
        </w:trPr>
        <w:tc>
          <w:tcPr>
            <w:tcW w:w="5000" w:type="pct"/>
            <w:gridSpan w:val="4"/>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Витебская область</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 ГП «ВПКиТС», г. Витебск, ул. Титова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КУПП ЖКХ «Коханово-ЖКХ», г. Коханово, ул. Промышленная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1 780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КУП «Оршатеплосети», г. Орша, ул. Ленина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 Сенненское РУП ЖКХ, г. Сенно, ул. Октябрьская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УП ЖКХ Поставского района, г. Поставы, ул. Красноармейская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 УП ЖКХ Шумилинского района, дер. Никитиха, ул. Юбилейная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ГП «ВПКиТС», г. Витебск, ул. Ленинградская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1 310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 Верхнедвинское ГРУПП ЖКХ, г. Верхнедвинск, ул. Мира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1 420</w:t>
            </w:r>
          </w:p>
        </w:tc>
      </w:tr>
      <w:tr w:rsidR="00167A62">
        <w:trPr>
          <w:trHeight w:val="240"/>
        </w:trPr>
        <w:tc>
          <w:tcPr>
            <w:tcW w:w="2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 КУП ЖКХ «Браслав-коммунальник», г. Браслав, ул. Дзержинского</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1 380</w:t>
            </w:r>
          </w:p>
        </w:tc>
      </w:tr>
      <w:tr w:rsidR="00167A62">
        <w:trPr>
          <w:trHeight w:val="240"/>
        </w:trPr>
        <w:tc>
          <w:tcPr>
            <w:tcW w:w="2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8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9 464</w:t>
            </w:r>
          </w:p>
        </w:tc>
      </w:tr>
      <w:tr w:rsidR="00167A62">
        <w:trPr>
          <w:trHeight w:val="240"/>
        </w:trPr>
        <w:tc>
          <w:tcPr>
            <w:tcW w:w="5000" w:type="pct"/>
            <w:gridSpan w:val="4"/>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Гомельская область</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 КЖУП «Буда-Кошелевский коммунальник», г. Буда-Кошелево,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29. КЖУП «Гомельский райжилкомхоз», пос. Зябровка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КУП «Добрушский коммунальник», г. Добруш, просп. Луначарского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КУП «Речицкий райжилкомхоз», г. Речица, ул. Заслонова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0,56</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КЖУП «Буда-Кошелевский коммунальник», г. Буда-Кошелево, ул. Лавриновича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КУП «Добрушский коммунальник», н.п. Иговка, ул. Молодежная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КУП «Добрушский коммунальник», н.п. Носовичи, ул. Садовая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КЖУП «Лоевский райжилкомхоз», г.п. Лоев, ул. Октябрьская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36. КУП «Речицкий райжилкомхоз», н.п. Заречье</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1 353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 КЖЭУП «Ельское», г. Ельск, ул. Пушкина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38. КУП «Житковичский коммунальник», г. Житковичи, ул. Фрунзе</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1 603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 КУП «Коммунальник Калинковичский», г. Калинковичи, ул. Суркова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11 747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 КЖУП «Буда-Кошелевский коммунальник», г. Буда-Кошелево, ул. Прищепы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1 526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КПУП «Лельком», г.п. Лельчицы,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2 782,9</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КУП «Добрушский коммунальник», г. Добруш, ул. Б.Хмельницкого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КУП «Речицкий райжилкомхоз», н.п. Озерщина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2 343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 КУП «Петриковский райжилкомхоз», г. Петриков</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615</w:t>
            </w:r>
          </w:p>
        </w:tc>
      </w:tr>
      <w:tr w:rsidR="00167A62">
        <w:trPr>
          <w:trHeight w:val="240"/>
        </w:trPr>
        <w:tc>
          <w:tcPr>
            <w:tcW w:w="2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Мозырская ТЭЦ РУП «Гомельэнерго», г. Мозырь</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80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130 000</w:t>
            </w:r>
          </w:p>
        </w:tc>
      </w:tr>
      <w:tr w:rsidR="00167A62">
        <w:trPr>
          <w:trHeight w:val="240"/>
        </w:trPr>
        <w:tc>
          <w:tcPr>
            <w:tcW w:w="2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211,11</w:t>
            </w:r>
          </w:p>
        </w:tc>
        <w:tc>
          <w:tcPr>
            <w:tcW w:w="8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157 397</w:t>
            </w:r>
          </w:p>
        </w:tc>
      </w:tr>
      <w:tr w:rsidR="00167A62">
        <w:trPr>
          <w:trHeight w:val="240"/>
        </w:trPr>
        <w:tc>
          <w:tcPr>
            <w:tcW w:w="5000" w:type="pct"/>
            <w:gridSpan w:val="4"/>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Гродненская область</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46. Берестовицкое РУП ЖКХ, агрогородок Олекшицы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47. КУП «ЖКХ Гродненского района», агрогородок Лойки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48. Вороновское РУП ЖКХ, г.п. Вороново,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49. КУП «ЖКХ Гродненского района», агрогородок Путришки, ул. Школьная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 Новогрудское РУП ЖКХ, г. Новогрудок, ул. Котовского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849</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 ПКУП «Волковысское КХ», г. Волковыск, ул. С.Панковой</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1 250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ГРУП «Скидельское ЖКХ», дер. Головничи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 ГРУП «Скидельское ЖКХ», агрогородок Обухово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 Дятловское РУП ЖКХ, г. Дятлово, ул. Новогрудская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Новогрудское РУП ЖКХ, г. Новогрудок, ул. Комсомольская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56. Ошмянское РУП ЖКХ, г. Ошмяны, ул. Борунская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57. Мостовское РУП ЖКХ, г. Мосты, ул. Зеленая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58. Лидское ГУП ЖКХ, г. Березовка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5 254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59. Слонимское ГУП ЖКХ, г. Слоним, ул. Коссовский тракт</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Щучинское РУП ЖКХ, г. Щучин,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7 016</w:t>
            </w:r>
          </w:p>
        </w:tc>
      </w:tr>
      <w:tr w:rsidR="00167A62">
        <w:trPr>
          <w:trHeight w:val="240"/>
        </w:trPr>
        <w:tc>
          <w:tcPr>
            <w:tcW w:w="2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ОАО «ТБЗ Дитва», Лидский район, агрогородок Дитва</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80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2 500</w:t>
            </w:r>
          </w:p>
        </w:tc>
      </w:tr>
      <w:tr w:rsidR="00167A62">
        <w:trPr>
          <w:trHeight w:val="240"/>
        </w:trPr>
        <w:tc>
          <w:tcPr>
            <w:tcW w:w="2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105,3</w:t>
            </w:r>
          </w:p>
        </w:tc>
        <w:tc>
          <w:tcPr>
            <w:tcW w:w="8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21 856</w:t>
            </w:r>
          </w:p>
        </w:tc>
      </w:tr>
      <w:tr w:rsidR="00167A62">
        <w:trPr>
          <w:trHeight w:val="240"/>
        </w:trPr>
        <w:tc>
          <w:tcPr>
            <w:tcW w:w="5000" w:type="pct"/>
            <w:gridSpan w:val="4"/>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Минская область</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Борисовское УП «Жилье», дер. Гора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УП «Столбцовское ОКС», дер. Николаевщина, ул. Пионерская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РУП «Логойский комхоз», г.п. Плещеницы, пер. Промышленный</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РУП «Узденское ЖКХ», г. Узда, ул. Рабочая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СГУПП «ЖКХ «Комплекс», дер. Драчева, ул. Солнечная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Крупское КУП «Жилтеплострой», г.п. Холопеничи, ул. Карла Маркса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КУП «Клецкое ЖКХ», г. Клецк,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69. КУП «Смолевичское ЖКХ», дер. Кривая Береза, ул. </w:t>
            </w:r>
            <w:r>
              <w:rPr>
                <w:rFonts w:ascii="Times New Roman" w:hAnsi="Times New Roman" w:cs="Times New Roman"/>
                <w:color w:val="000000"/>
                <w:sz w:val="24"/>
                <w:szCs w:val="24"/>
              </w:rPr>
              <w:lastRenderedPageBreak/>
              <w:t>Центральная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70. КУП «Смолевичское ЖКХ», дер. Петровичи, ул. Зареченская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 РКУП «Стародорожское ЖКХ», г. Старые Дороги, ул. Кирова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6 933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РУП «Червенское ЖКХ», г. Червень, ул. Флогминтова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4 267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СГУПП «ЖКХ «Комплекс», г.п. Красная Слобода,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74. УП «Жилтеплосервис» КХ Пуховичского района, агрогородок Блонь</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1 422</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75. РУП «Несвижское ЖКХ», дер. Рудавка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1 422</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76. КУП «Клецкое ЖКХ», дер. Морочь, ул. Юбилейная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77. КУП «ЖКХ Минского района», дер. Луговая Слобода, ул. Марата Казея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1 458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78. КУП «Смолевичское ЖКХ», дер. Зеленый Бор, ул. Заводская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79. КУП «ЖКХ Минского района», дер. Боровляны, ул. 40 лет Победы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7 467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80. Крупское КУП «Жилтеплострой», г. Крупки, ул. Московская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1 778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81. УП «Мядельское ЖКХ», дер. Воронцы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2 844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82. РУП «Воложинский жилкоммунхоз», г. Воложин, ул. Гагарина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5 689</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83. КУП «ЖКХ Минского района», пос. Юбилейный, ул. Коммунальная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2 133</w:t>
            </w:r>
          </w:p>
        </w:tc>
      </w:tr>
      <w:tr w:rsidR="00167A62">
        <w:trPr>
          <w:trHeight w:val="240"/>
        </w:trPr>
        <w:tc>
          <w:tcPr>
            <w:tcW w:w="2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84. ОАО «Старобинский ТБЗ», Солигорский район, п.г.т. </w:t>
            </w:r>
            <w:r>
              <w:rPr>
                <w:rFonts w:ascii="Times New Roman" w:hAnsi="Times New Roman" w:cs="Times New Roman"/>
                <w:color w:val="000000"/>
                <w:sz w:val="24"/>
                <w:szCs w:val="24"/>
              </w:rPr>
              <w:lastRenderedPageBreak/>
              <w:t>Старобинский</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15,0</w:t>
            </w:r>
          </w:p>
        </w:tc>
        <w:tc>
          <w:tcPr>
            <w:tcW w:w="80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2 000</w:t>
            </w:r>
          </w:p>
        </w:tc>
      </w:tr>
      <w:tr w:rsidR="00167A62">
        <w:trPr>
          <w:trHeight w:val="240"/>
        </w:trPr>
        <w:tc>
          <w:tcPr>
            <w:tcW w:w="2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Итого</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141,5</w:t>
            </w:r>
          </w:p>
        </w:tc>
        <w:tc>
          <w:tcPr>
            <w:tcW w:w="8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46 980</w:t>
            </w:r>
          </w:p>
        </w:tc>
      </w:tr>
      <w:tr w:rsidR="00167A62">
        <w:trPr>
          <w:trHeight w:val="240"/>
        </w:trPr>
        <w:tc>
          <w:tcPr>
            <w:tcW w:w="5000" w:type="pct"/>
            <w:gridSpan w:val="4"/>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Могилевская область</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85. Могилевское УКП «Жилкомхоз», агрогородок Кадино,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86. УКПП «Чериковский жилкоммунхоз», г. Чериков, ул. Рокоссовского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2 056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87. Шкловское УКП «Жилкомхоз», агрогородок Говяды, пер. Пожарный</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88. Глусское УКП «Жилкомхоз», г. Глуск, ул. Горького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89. Дрибинское УКП «Жилкомхоз», агрогородок Коровчино, ул. Лесная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90. Кировское УКП «Жилкомхоз», г. Кировск, пер. Орловского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91. Климовичское УКП «Коммунальник», г. Климовичи, ул. Кирова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92. Краснопольское УПКП «Жилкоммунхоз», г. Краснополье, ул. Тимирязева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93. Круглянское УКП «Жилкомхоз», пос. Круглое, ул. Могилевская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94. УКПП «Костюковичский жилкоммунхоз», агрогородок Крапивня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95. УКПП «Чериковский жилкоммунхоз», агрогородок Веремейки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665</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96. Кировское УКП «Жилкомхоз», г. Кировск, ул. Ленинская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97. Климовичское УКП «Коммунальник», агрогородок Тимоново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852</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98. Климовичское УКП «Коммунальник», г. Климовичи, ул. Строителей</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99. Кричевское УКПП «Коммунальник», г. Кричев, ул. Комсомольская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100. Кричевское УКПП «Коммунальник», г. Кричев,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1 264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 Могилевское ГКУП теплоэнергетики, в/ч «Пашково»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 Мстиславское УКП «Жилкомхоз», агрогородок Рязанцы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103. Осиповичское УКП ЖКХ, дер. Вязье</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104. УКПП «Костюковичский жилкоммунхоз», агрогородок Шарейки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105. УКПП «Чериковский жилкоммунхоз», г. Чериков, ул. Ленинская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106. Чаусское УКП «Жилкомхоз», г. Чаусы, ул. Гагарина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107. Быховское УКП «Жилкомхоз», г. Быхов, ул. Первомайская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108. Быховское УКП «Жилкомхоз», г. Быхов, ул. Смолячкова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109. Быховское УКП «Жилкомхоз», пос. Колос</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669</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110. Дрибинское УКП «Жилкомхоз», агрогородок Пудовня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 Дрибинское УКП «Жилкомхоз», агрогородок Трилесино, ул. Гагарина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1 048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 Кричевское УКПП «Коммунальник», г. Кричев, пер. </w:t>
            </w:r>
            <w:r>
              <w:rPr>
                <w:rFonts w:ascii="Times New Roman" w:hAnsi="Times New Roman" w:cs="Times New Roman"/>
                <w:color w:val="000000"/>
                <w:sz w:val="24"/>
                <w:szCs w:val="24"/>
              </w:rPr>
              <w:lastRenderedPageBreak/>
              <w:t>Советский</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113. Кричевское УКПП «Коммунальник», г. Кричев, ул. Заслонова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 Кричевское УКПП «Коммунальник», г. Кричев, ул. Тимирязева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 Могилевское УКП «Жилкомхоз», агрогородок Дашковка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 УКПП «Костюковичский жилкоммунхоз», агрогородок Н.Самотевичи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663</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 УКПП «Костюковичский жилкоммунхоз», агрогородок Тупичино</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118. Быховское УКП «Жилкомхоз», г. Быхов, ул. Богдановича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119. Быховское УКП «Жилкомхоз», г. Быхов, ул. Якубова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120. Кричевское УКПП «Коммунальник», г. Кричев, ул. Советская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 Могилевское УКП «Жилкомхоз», агрогородок Буйничи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1 538</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122. Могилевское УКП «Жилкомхоз», дер. Межиситки</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1 726</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123. Мстиславское УКП «Жилкомхоз», агрогородок Андраны</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124. Славгородское УКП «Жилкомхоз», г. Славгород, ул. Калинина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125. УКПП «Костюковичский жилкоммунхоз», агрогородок Муравилье</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126. Чаусское УКП «Жилкомхоз», г. Чаусы, ул. Лермонтова</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167A62">
        <w:trPr>
          <w:trHeight w:val="240"/>
        </w:trPr>
        <w:tc>
          <w:tcPr>
            <w:tcW w:w="240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127. Шкловское УКП «Жилкомхоз», г. Шклов, ул. Заречная</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r>
      <w:tr w:rsidR="00167A62">
        <w:trPr>
          <w:trHeight w:val="240"/>
        </w:trPr>
        <w:tc>
          <w:tcPr>
            <w:tcW w:w="2400" w:type="pct"/>
            <w:tcBorders>
              <w:top w:val="nil"/>
              <w:left w:val="nil"/>
              <w:bottom w:val="single" w:sz="6"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128. Шкловское УКП «Жилкомхоз», г. Шклов, ул.70 лет Великой </w:t>
            </w:r>
            <w:r>
              <w:rPr>
                <w:rFonts w:ascii="Times New Roman" w:hAnsi="Times New Roman" w:cs="Times New Roman"/>
                <w:color w:val="000000"/>
                <w:sz w:val="24"/>
                <w:szCs w:val="24"/>
              </w:rPr>
              <w:lastRenderedPageBreak/>
              <w:t>Победы</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80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pct"/>
            <w:tcBorders>
              <w:top w:val="nil"/>
              <w:left w:val="nil"/>
              <w:bottom w:val="single" w:sz="6"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r>
      <w:tr w:rsidR="00167A62">
        <w:trPr>
          <w:trHeight w:val="240"/>
        </w:trPr>
        <w:tc>
          <w:tcPr>
            <w:tcW w:w="2400" w:type="pct"/>
            <w:tcBorders>
              <w:top w:val="single" w:sz="6" w:space="0" w:color="000000"/>
              <w:left w:val="nil"/>
              <w:bottom w:val="single" w:sz="6" w:space="0" w:color="000000"/>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Итого</w:t>
            </w:r>
          </w:p>
        </w:tc>
        <w:tc>
          <w:tcPr>
            <w:tcW w:w="850" w:type="pct"/>
            <w:tcBorders>
              <w:top w:val="single" w:sz="6" w:space="0" w:color="000000"/>
              <w:left w:val="nil"/>
              <w:bottom w:val="single" w:sz="6" w:space="0" w:color="000000"/>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88,7</w:t>
            </w:r>
          </w:p>
        </w:tc>
        <w:tc>
          <w:tcPr>
            <w:tcW w:w="800" w:type="pct"/>
            <w:tcBorders>
              <w:top w:val="single" w:sz="6" w:space="0" w:color="000000"/>
              <w:left w:val="nil"/>
              <w:bottom w:val="single" w:sz="6" w:space="0" w:color="000000"/>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single" w:sz="6" w:space="0" w:color="000000"/>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22 557</w:t>
            </w:r>
          </w:p>
        </w:tc>
      </w:tr>
      <w:tr w:rsidR="00167A62">
        <w:trPr>
          <w:trHeight w:val="240"/>
        </w:trPr>
        <w:tc>
          <w:tcPr>
            <w:tcW w:w="240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678,1</w:t>
            </w:r>
          </w:p>
        </w:tc>
        <w:tc>
          <w:tcPr>
            <w:tcW w:w="8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279 494</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Мощность энергоисточника и объем замещаемого природного газа уточняются при разработке обоснований инвестирования и проектно-сметной документации.</w:t>
      </w:r>
      <w:r w:rsidR="00B67A41">
        <w:rPr>
          <w:rFonts w:ascii="Times New Roman" w:hAnsi="Times New Roman" w:cs="Times New Roman"/>
          <w:color w:val="000000"/>
          <w:sz w:val="24"/>
          <w:szCs w:val="24"/>
        </w:rPr>
        <w:pict>
          <v:shape id="_x0000_i1081" type="#_x0000_t75" style="width:7.5pt;height:7.5pt">
            <v:imagedata r:id="rId7" o:title=""/>
          </v:shape>
        </w:pict>
      </w:r>
    </w:p>
    <w:p w:rsidR="003A6F20"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A6F20" w:rsidRDefault="003A6F2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
    <w:tbl>
      <w:tblPr>
        <w:tblW w:w="5000" w:type="pct"/>
        <w:tblInd w:w="-15" w:type="dxa"/>
        <w:tblLayout w:type="fixed"/>
        <w:tblCellMar>
          <w:left w:w="0" w:type="dxa"/>
          <w:right w:w="0" w:type="dxa"/>
        </w:tblCellMar>
        <w:tblLook w:val="0000" w:firstRow="0" w:lastRow="0" w:firstColumn="0" w:lastColumn="0" w:noHBand="0" w:noVBand="0"/>
      </w:tblPr>
      <w:tblGrid>
        <w:gridCol w:w="11921"/>
        <w:gridCol w:w="2649"/>
      </w:tblGrid>
      <w:tr w:rsidR="00167A62">
        <w:trPr>
          <w:trHeight w:val="240"/>
        </w:trPr>
        <w:tc>
          <w:tcPr>
            <w:tcW w:w="4050" w:type="pct"/>
            <w:tcBorders>
              <w:top w:val="nil"/>
              <w:left w:val="nil"/>
              <w:bottom w:val="nil"/>
              <w:right w:val="nil"/>
            </w:tcBorders>
          </w:tcPr>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167A62" w:rsidRDefault="00167A62">
            <w:pPr>
              <w:widowControl w:val="0"/>
              <w:autoSpaceDE w:val="0"/>
              <w:autoSpaceDN w:val="0"/>
              <w:adjustRightInd w:val="0"/>
              <w:spacing w:after="30" w:line="300" w:lineRule="auto"/>
              <w:rPr>
                <w:rFonts w:ascii="Times New Roman" w:hAnsi="Times New Roman" w:cs="Times New Roman"/>
                <w:color w:val="000000"/>
                <w:sz w:val="24"/>
                <w:szCs w:val="24"/>
              </w:rPr>
            </w:pPr>
            <w:bookmarkStart w:id="44" w:name="CA0_ГСП__1_ПРЛ_7_13CN__прил_7_утв_1"/>
            <w:bookmarkEnd w:id="44"/>
            <w:r>
              <w:rPr>
                <w:rFonts w:ascii="Times New Roman" w:hAnsi="Times New Roman" w:cs="Times New Roman"/>
                <w:color w:val="000000"/>
                <w:sz w:val="24"/>
                <w:szCs w:val="24"/>
              </w:rPr>
              <w:t>Приложение 7</w:t>
            </w:r>
          </w:p>
          <w:p w:rsidR="00167A62" w:rsidRDefault="00167A62">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Государственной программе</w:t>
            </w:r>
            <w:r>
              <w:rPr>
                <w:rFonts w:ascii="Times New Roman" w:hAnsi="Times New Roman" w:cs="Times New Roman"/>
                <w:color w:val="000000"/>
                <w:sz w:val="24"/>
                <w:szCs w:val="24"/>
              </w:rPr>
              <w:br/>
              <w:t>«Энергосбережение»</w:t>
            </w:r>
            <w:r>
              <w:rPr>
                <w:rFonts w:ascii="Times New Roman" w:hAnsi="Times New Roman" w:cs="Times New Roman"/>
                <w:color w:val="000000"/>
                <w:sz w:val="24"/>
                <w:szCs w:val="24"/>
              </w:rPr>
              <w:br/>
              <w:t>на 2016–2020 годы</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30.12.2016 № 1128)</w:t>
            </w:r>
          </w:p>
        </w:tc>
      </w:tr>
    </w:tbl>
    <w:p w:rsidR="00167A62" w:rsidRDefault="00167A62">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45" w:name="CN__заг_прил_7_утв_1"/>
      <w:bookmarkEnd w:id="45"/>
      <w:r>
        <w:rPr>
          <w:rFonts w:ascii="Times New Roman" w:hAnsi="Times New Roman" w:cs="Times New Roman"/>
          <w:b/>
          <w:color w:val="000000"/>
          <w:sz w:val="24"/>
          <w:szCs w:val="24"/>
        </w:rPr>
        <w:t>Целевые показатели по доле местных ТЭР в КПТ[1], в том числе показатели по доле ВИЭ в КПТ[2], на 2016–2020 годы</w:t>
      </w:r>
    </w:p>
    <w:p w:rsidR="00167A62" w:rsidRDefault="00167A62">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bl>
      <w:tblPr>
        <w:tblW w:w="5000" w:type="pct"/>
        <w:tblInd w:w="-15" w:type="dxa"/>
        <w:tblLayout w:type="fixed"/>
        <w:tblCellMar>
          <w:left w:w="0" w:type="dxa"/>
          <w:right w:w="0" w:type="dxa"/>
        </w:tblCellMar>
        <w:tblLook w:val="0000" w:firstRow="0" w:lastRow="0" w:firstColumn="0" w:lastColumn="0" w:noHBand="0" w:noVBand="0"/>
      </w:tblPr>
      <w:tblGrid>
        <w:gridCol w:w="3973"/>
        <w:gridCol w:w="1030"/>
        <w:gridCol w:w="1030"/>
        <w:gridCol w:w="1030"/>
        <w:gridCol w:w="1030"/>
        <w:gridCol w:w="1030"/>
        <w:gridCol w:w="1030"/>
        <w:gridCol w:w="1030"/>
        <w:gridCol w:w="1031"/>
        <w:gridCol w:w="1031"/>
        <w:gridCol w:w="1325"/>
      </w:tblGrid>
      <w:tr w:rsidR="00167A62">
        <w:trPr>
          <w:trHeight w:val="240"/>
        </w:trPr>
        <w:tc>
          <w:tcPr>
            <w:tcW w:w="1350" w:type="pct"/>
            <w:vMerge w:val="restart"/>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Наименование республиканских органов государственного управления и иных государственных организаций, подчиненных Правительству Республики Беларусь</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органов местного управления</w:t>
            </w:r>
            <w:r>
              <w:rPr>
                <w:rFonts w:ascii="Times New Roman" w:hAnsi="Times New Roman" w:cs="Times New Roman"/>
                <w:color w:val="000000"/>
                <w:sz w:val="24"/>
                <w:szCs w:val="24"/>
                <w:vertAlign w:val="superscript"/>
              </w:rPr>
              <w:t>4</w:t>
            </w:r>
          </w:p>
        </w:tc>
        <w:tc>
          <w:tcPr>
            <w:tcW w:w="3600" w:type="pct"/>
            <w:gridSpan w:val="10"/>
            <w:tcBorders>
              <w:top w:val="single" w:sz="2"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годам</w:t>
            </w:r>
          </w:p>
        </w:tc>
      </w:tr>
      <w:tr w:rsidR="00167A62">
        <w:trPr>
          <w:trHeight w:val="240"/>
        </w:trPr>
        <w:tc>
          <w:tcPr>
            <w:tcW w:w="609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700" w:type="pct"/>
            <w:gridSpan w:val="2"/>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r w:rsidR="00167A62">
        <w:trPr>
          <w:trHeight w:val="240"/>
        </w:trPr>
        <w:tc>
          <w:tcPr>
            <w:tcW w:w="6090" w:type="dxa"/>
            <w:vMerge/>
            <w:tcBorders>
              <w:top w:val="single" w:sz="2" w:space="0" w:color="000000"/>
              <w:left w:val="nil"/>
              <w:bottom w:val="single" w:sz="6" w:space="0" w:color="000000"/>
              <w:right w:val="single" w:sz="6" w:space="0" w:color="000000"/>
            </w:tcBorders>
            <w:vAlign w:val="center"/>
          </w:tcPr>
          <w:p w:rsidR="00167A62" w:rsidRDefault="00167A62">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КПТ</w:t>
            </w:r>
          </w:p>
        </w:tc>
        <w:tc>
          <w:tcPr>
            <w:tcW w:w="3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доля ВИЭ в КПТ</w:t>
            </w:r>
          </w:p>
        </w:tc>
        <w:tc>
          <w:tcPr>
            <w:tcW w:w="3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КПТ</w:t>
            </w:r>
          </w:p>
        </w:tc>
        <w:tc>
          <w:tcPr>
            <w:tcW w:w="3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доля ВИЭ в КПТ</w:t>
            </w:r>
          </w:p>
        </w:tc>
        <w:tc>
          <w:tcPr>
            <w:tcW w:w="3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КПТ</w:t>
            </w:r>
          </w:p>
        </w:tc>
        <w:tc>
          <w:tcPr>
            <w:tcW w:w="3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доля ВИЭ в КПТ</w:t>
            </w:r>
          </w:p>
        </w:tc>
        <w:tc>
          <w:tcPr>
            <w:tcW w:w="3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КПТ</w:t>
            </w:r>
          </w:p>
        </w:tc>
        <w:tc>
          <w:tcPr>
            <w:tcW w:w="30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доля ВИЭ в КПТ</w:t>
            </w:r>
          </w:p>
        </w:tc>
        <w:tc>
          <w:tcPr>
            <w:tcW w:w="350" w:type="pct"/>
            <w:tcBorders>
              <w:top w:val="single" w:sz="6" w:space="0" w:color="000000"/>
              <w:left w:val="single" w:sz="6" w:space="0" w:color="000000"/>
              <w:bottom w:val="single" w:sz="6" w:space="0" w:color="000000"/>
              <w:right w:val="single" w:sz="6" w:space="0" w:color="000000"/>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ТЭР в КПТ</w:t>
            </w:r>
          </w:p>
        </w:tc>
        <w:tc>
          <w:tcPr>
            <w:tcW w:w="300" w:type="pct"/>
            <w:tcBorders>
              <w:top w:val="single" w:sz="6" w:space="0" w:color="000000"/>
              <w:left w:val="single" w:sz="6" w:space="0" w:color="000000"/>
              <w:bottom w:val="single" w:sz="6" w:space="0" w:color="000000"/>
              <w:right w:val="nil"/>
            </w:tcBorders>
            <w:vAlign w:val="center"/>
          </w:tcPr>
          <w:p w:rsidR="00167A62" w:rsidRDefault="00167A6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доля ВИЭ в КПТ</w:t>
            </w:r>
          </w:p>
        </w:tc>
      </w:tr>
      <w:tr w:rsidR="00167A62">
        <w:trPr>
          <w:trHeight w:val="240"/>
        </w:trPr>
        <w:tc>
          <w:tcPr>
            <w:tcW w:w="1350" w:type="pct"/>
            <w:tcBorders>
              <w:top w:val="single" w:sz="6" w:space="0" w:color="000000"/>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Госпогранкомитет</w:t>
            </w:r>
          </w:p>
        </w:tc>
        <w:tc>
          <w:tcPr>
            <w:tcW w:w="3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w:t>
            </w:r>
          </w:p>
        </w:tc>
        <w:tc>
          <w:tcPr>
            <w:tcW w:w="3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70,1</w:t>
            </w:r>
          </w:p>
        </w:tc>
        <w:tc>
          <w:tcPr>
            <w:tcW w:w="3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3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70,1</w:t>
            </w:r>
          </w:p>
        </w:tc>
        <w:tc>
          <w:tcPr>
            <w:tcW w:w="3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3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tc>
        <w:tc>
          <w:tcPr>
            <w:tcW w:w="3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35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tc>
        <w:tc>
          <w:tcPr>
            <w:tcW w:w="300" w:type="pct"/>
            <w:tcBorders>
              <w:top w:val="single" w:sz="6" w:space="0" w:color="000000"/>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МВД</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49,9</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Минздрав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Минлесхоз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97,6</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97,6</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97,8</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98,0</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Минобороны</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Минобразование</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29,7</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Минпром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Минсвязи</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36,6</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37,1</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80,1</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Минсельхозпрод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Минстройархитектуры</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14,3</w:t>
            </w:r>
            <w:r>
              <w:rPr>
                <w:rFonts w:ascii="Times New Roman" w:hAnsi="Times New Roman" w:cs="Times New Roman"/>
                <w:color w:val="000000"/>
                <w:sz w:val="24"/>
                <w:szCs w:val="24"/>
                <w:vertAlign w:val="superscript"/>
              </w:rPr>
              <w:t>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16,8</w:t>
            </w:r>
            <w:r>
              <w:rPr>
                <w:rFonts w:ascii="Times New Roman" w:hAnsi="Times New Roman" w:cs="Times New Roman"/>
                <w:color w:val="000000"/>
                <w:sz w:val="24"/>
                <w:szCs w:val="24"/>
                <w:vertAlign w:val="superscript"/>
              </w:rPr>
              <w:t>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16,8</w:t>
            </w:r>
            <w:r>
              <w:rPr>
                <w:rFonts w:ascii="Times New Roman" w:hAnsi="Times New Roman" w:cs="Times New Roman"/>
                <w:color w:val="000000"/>
                <w:sz w:val="24"/>
                <w:szCs w:val="24"/>
                <w:vertAlign w:val="superscript"/>
              </w:rPr>
              <w:t>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27,0</w:t>
            </w:r>
            <w:r>
              <w:rPr>
                <w:rFonts w:ascii="Times New Roman" w:hAnsi="Times New Roman" w:cs="Times New Roman"/>
                <w:color w:val="000000"/>
                <w:sz w:val="24"/>
                <w:szCs w:val="24"/>
                <w:vertAlign w:val="superscript"/>
              </w:rPr>
              <w:t>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Минтранс</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МЧС</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62,7</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Организации, подчиненные Минэнерго: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ГПО «Белтопгаз»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ГПО «Белэнерго»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Концерны: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«Белгоспищепром»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«Беллегпром»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«Беллесбумпром»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56,1</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58,9</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«Белнефтехим»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7,3</w:t>
            </w:r>
            <w:r>
              <w:rPr>
                <w:rFonts w:ascii="Times New Roman" w:hAnsi="Times New Roman" w:cs="Times New Roman"/>
                <w:color w:val="000000"/>
                <w:sz w:val="24"/>
                <w:szCs w:val="24"/>
                <w:vertAlign w:val="superscript"/>
              </w:rPr>
              <w:t>6</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Брестский облисполком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Витебский облисполком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6,8</w:t>
            </w:r>
            <w:r>
              <w:rPr>
                <w:rFonts w:ascii="Times New Roman" w:hAnsi="Times New Roman" w:cs="Times New Roman"/>
                <w:color w:val="000000"/>
                <w:sz w:val="24"/>
                <w:szCs w:val="24"/>
                <w:vertAlign w:val="superscript"/>
              </w:rPr>
              <w:t>6</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Гомельский облисполком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14,0</w:t>
            </w:r>
            <w:r>
              <w:rPr>
                <w:rFonts w:ascii="Times New Roman" w:hAnsi="Times New Roman" w:cs="Times New Roman"/>
                <w:color w:val="000000"/>
                <w:sz w:val="24"/>
                <w:szCs w:val="24"/>
                <w:vertAlign w:val="superscript"/>
              </w:rPr>
              <w:t>6</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Гродненский облисполком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облисполком</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25,3</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r>
      <w:tr w:rsidR="00167A62">
        <w:trPr>
          <w:trHeight w:val="240"/>
        </w:trPr>
        <w:tc>
          <w:tcPr>
            <w:tcW w:w="1350" w:type="pct"/>
            <w:tcBorders>
              <w:top w:val="nil"/>
              <w:left w:val="nil"/>
              <w:bottom w:val="nil"/>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Могилевский облисполком</w:t>
            </w:r>
            <w:r>
              <w:rPr>
                <w:rFonts w:ascii="Times New Roman" w:hAnsi="Times New Roman" w:cs="Times New Roman"/>
                <w:color w:val="000000"/>
                <w:sz w:val="24"/>
                <w:szCs w:val="24"/>
                <w:vertAlign w:val="superscript"/>
              </w:rPr>
              <w:t>7</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35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300" w:type="pct"/>
            <w:tcBorders>
              <w:top w:val="nil"/>
              <w:left w:val="nil"/>
              <w:bottom w:val="nil"/>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r>
      <w:tr w:rsidR="00167A62">
        <w:trPr>
          <w:trHeight w:val="240"/>
        </w:trPr>
        <w:tc>
          <w:tcPr>
            <w:tcW w:w="1350" w:type="pct"/>
            <w:tcBorders>
              <w:top w:val="nil"/>
              <w:left w:val="nil"/>
              <w:bottom w:val="single" w:sz="2" w:space="0" w:color="auto"/>
              <w:right w:val="nil"/>
            </w:tcBorders>
          </w:tcPr>
          <w:p w:rsidR="00167A62" w:rsidRDefault="00167A62">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горисполком</w:t>
            </w:r>
          </w:p>
        </w:tc>
        <w:tc>
          <w:tcPr>
            <w:tcW w:w="3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3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3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3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35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0" w:type="pct"/>
            <w:tcBorders>
              <w:top w:val="nil"/>
              <w:left w:val="nil"/>
              <w:bottom w:val="single" w:sz="2" w:space="0" w:color="auto"/>
              <w:right w:val="nil"/>
            </w:tcBorders>
            <w:vAlign w:val="bottom"/>
          </w:tcPr>
          <w:p w:rsidR="00167A62" w:rsidRDefault="00167A62">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r>
    </w:tbl>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7A62" w:rsidRDefault="00167A62">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Рассчитывается ежемесячно на основании официальной статистической информации по форме 12-тэк как объем расхода местных ТЭР в процентном отношении к общему объему расхода КПТ (соответствует строке 110 в графе 1 раздела I) за отчетный период.</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расхода местных ТЭР равен сумме объема расхода местных видов топлива и отходов (соответствует строке 110 в графе 2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строке 142 в графах 4 и 5 раздела I соответственно), умноженных на коэффициенты 0,143 и 0,123 соответственно.</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Рассчитывается ежеквартально как объем использования ВИЭ в процентном отношении к общему объему расхода КПТ за отчетный период.</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использования ВИЭ рассчитывается как объем расхода местных ТЭР за вычетом объема расхода невозобновляемых местных ТЭР. Объем расхода невозобновляемых местных ТЭР рассчитывается на основании официальной статистической информации по форме 4-тэк как сумма расходов газа природного попутного, торфа топливного фрезерного, торфа топливного кускового, брикетов и полубрикетов торфяных, отработанных нефтепродуктов, использованных автопокрышек в качестве котельно-печного топлива (соответствуют разности граф 3, 5 и 6 по соответствующим строкам), выраженных в т.у.т.</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По всем организациям с учетом реализации (отпуска) населению.</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Задание подлежит пересмотру при внесении изменений как в инвестиционный план создания мощностей по производству и </w:t>
      </w:r>
      <w:r>
        <w:rPr>
          <w:rFonts w:ascii="Times New Roman" w:hAnsi="Times New Roman" w:cs="Times New Roman"/>
          <w:color w:val="000000"/>
          <w:sz w:val="24"/>
          <w:szCs w:val="24"/>
        </w:rPr>
        <w:lastRenderedPageBreak/>
        <w:t>использованию альтернативного топлива из ТКО (</w:t>
      </w:r>
      <w:hyperlink r:id="rId47" w:anchor="Прил_3_Утв_1" w:history="1">
        <w:r>
          <w:rPr>
            <w:rFonts w:ascii="Times New Roman" w:hAnsi="Times New Roman" w:cs="Times New Roman"/>
            <w:color w:val="0000FF"/>
            <w:sz w:val="24"/>
            <w:szCs w:val="24"/>
          </w:rPr>
          <w:t>приложение 3</w:t>
        </w:r>
      </w:hyperlink>
      <w:r>
        <w:rPr>
          <w:rFonts w:ascii="Times New Roman" w:hAnsi="Times New Roman" w:cs="Times New Roman"/>
          <w:color w:val="000000"/>
          <w:sz w:val="24"/>
          <w:szCs w:val="24"/>
        </w:rPr>
        <w:t xml:space="preserve"> к Концепции создания мощностей по производству альтернативного топлива из твердых коммунальных отходов и его использования, утвержденной постановлением Совета Министров Республики Беларусь от 22 августа 2016 г. № 664 (Национальный правовой Интернет-портал Республики Беларусь, 26.08.2016, 5/42518), так и по результатам первого практического применения RDF-топлива в производстве цемента.</w: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xml:space="preserve"> За вычетом расхода газа углеводородного нефтепереработки и метано-водородной фракции производства полиэтилена.</w:t>
      </w:r>
    </w:p>
    <w:p w:rsidR="00167A62" w:rsidRDefault="00167A62">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7</w:t>
      </w:r>
      <w:r>
        <w:rPr>
          <w:rFonts w:ascii="Times New Roman" w:hAnsi="Times New Roman" w:cs="Times New Roman"/>
          <w:color w:val="000000"/>
          <w:sz w:val="24"/>
          <w:szCs w:val="24"/>
        </w:rPr>
        <w:t xml:space="preserve"> С учетом использования ОАО «Кричевцементношифер» и ОАО «Белорусский цементный завод» топлива из торфа в объеме 312 тыс. тонн, в том числе в 2016 году – 220 тыс. тонн.</w:t>
      </w:r>
      <w:r w:rsidR="00B67A41">
        <w:rPr>
          <w:rFonts w:ascii="Times New Roman" w:hAnsi="Times New Roman" w:cs="Times New Roman"/>
          <w:color w:val="000000"/>
          <w:sz w:val="24"/>
          <w:szCs w:val="24"/>
        </w:rPr>
        <w:pict>
          <v:shape id="_x0000_i1082" type="#_x0000_t75" style="width:7.5pt;height:7.5pt">
            <v:imagedata r:id="rId7" o:title=""/>
          </v:shape>
        </w:pict>
      </w:r>
    </w:p>
    <w:p w:rsidR="00167A62" w:rsidRDefault="00167A62">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F50D8" w:rsidRPr="00167A62" w:rsidRDefault="000F50D8" w:rsidP="00167A62"/>
    <w:sectPr w:rsidR="000F50D8" w:rsidRPr="00167A62" w:rsidSect="00167A6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41" w:rsidRDefault="00B67A41" w:rsidP="00167A62">
      <w:pPr>
        <w:spacing w:after="0" w:line="240" w:lineRule="auto"/>
      </w:pPr>
      <w:r>
        <w:separator/>
      </w:r>
    </w:p>
  </w:endnote>
  <w:endnote w:type="continuationSeparator" w:id="0">
    <w:p w:rsidR="00B67A41" w:rsidRDefault="00B67A41" w:rsidP="0016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F" w:rsidRPr="009D179B" w:rsidRDefault="00B67A41"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41" w:rsidRDefault="00B67A41" w:rsidP="00167A62">
      <w:pPr>
        <w:spacing w:after="0" w:line="240" w:lineRule="auto"/>
      </w:pPr>
      <w:r>
        <w:separator/>
      </w:r>
    </w:p>
  </w:footnote>
  <w:footnote w:type="continuationSeparator" w:id="0">
    <w:p w:rsidR="00B67A41" w:rsidRDefault="00B67A41" w:rsidP="0016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4" w:rsidRPr="00B82B7A" w:rsidRDefault="00B67A41"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62"/>
    <w:rsid w:val="000F50D8"/>
    <w:rsid w:val="00167A62"/>
    <w:rsid w:val="001D0C52"/>
    <w:rsid w:val="003A6F20"/>
    <w:rsid w:val="005429D4"/>
    <w:rsid w:val="00B6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A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A62"/>
  </w:style>
  <w:style w:type="paragraph" w:styleId="a5">
    <w:name w:val="footer"/>
    <w:basedOn w:val="a"/>
    <w:link w:val="a6"/>
    <w:uiPriority w:val="99"/>
    <w:unhideWhenUsed/>
    <w:rsid w:val="00167A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A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A62"/>
  </w:style>
  <w:style w:type="paragraph" w:styleId="a5">
    <w:name w:val="footer"/>
    <w:basedOn w:val="a"/>
    <w:link w:val="a6"/>
    <w:uiPriority w:val="99"/>
    <w:unhideWhenUsed/>
    <w:rsid w:val="00167A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6"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34"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2"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7"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5"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33" Type="http://schemas.openxmlformats.org/officeDocument/2006/relationships/image" Target="media/image7.wmf"/><Relationship Id="rId38" Type="http://schemas.openxmlformats.org/officeDocument/2006/relationships/header" Target="header1.xml"/><Relationship Id="rId46"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 Type="http://schemas.microsoft.com/office/2007/relationships/stylesWithEffects" Target="stylesWithEffects.xml"/><Relationship Id="rId16"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0"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9"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1"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4"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32" Type="http://schemas.openxmlformats.org/officeDocument/2006/relationships/image" Target="media/image6.wmf"/><Relationship Id="rId37" Type="http://schemas.openxmlformats.org/officeDocument/2006/relationships/image" Target="media/image8.wmf"/><Relationship Id="rId40"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5"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5" Type="http://schemas.openxmlformats.org/officeDocument/2006/relationships/footnotes" Target="footnotes.xml"/><Relationship Id="rId15"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3"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8"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36"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9" Type="http://schemas.openxmlformats.org/officeDocument/2006/relationships/theme" Target="theme/theme1.xml"/><Relationship Id="rId10"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19"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31" Type="http://schemas.openxmlformats.org/officeDocument/2006/relationships/image" Target="media/image5.wmf"/><Relationship Id="rId44"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 Type="http://schemas.openxmlformats.org/officeDocument/2006/relationships/webSettings" Target="webSettings.xml"/><Relationship Id="rId9"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14"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2"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27"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30" Type="http://schemas.openxmlformats.org/officeDocument/2006/relationships/image" Target="media/image4.wmf"/><Relationship Id="rId35"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3"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 Id="rId48" Type="http://schemas.openxmlformats.org/officeDocument/2006/relationships/fontTable" Target="fontTable.xml"/><Relationship Id="rId8" Type="http://schemas.openxmlformats.org/officeDocument/2006/relationships/hyperlink" Target="file:///D:\Sannikov\E\&#1052;&#1086;&#1080;%20&#1076;&#1086;&#1082;&#1091;&#1084;&#1077;&#1085;&#1090;&#1099;\&#1050;&#1086;&#1084;&#1101;&#1085;&#1077;&#1088;&#1075;&#1086;&#1101;&#1092;-&#1090;&#1100;\&#1057;&#1040;&#1049;&#1058;\&#1055;&#1086;&#1087;&#1086;&#1083;&#1085;&#1077;&#1085;&#1080;&#1077;2017\&#1055;&#1086;&#1087;&#1086;&#1083;&#1085;_1&#1082;&#1074;2017\&#1055;&#1086;&#1087;&#1086;&#1083;&#1085;_&#1092;&#1077;&#1074;&#1088;&#1072;&#1083;&#1100;2017\&#1055;&#1086;&#1087;&#1086;&#1083;&#1085;34_17&#1092;&#1077;&#1074;&#1088;2017\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17502</Words>
  <Characters>99767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Вячеслав Санников</cp:lastModifiedBy>
  <cp:revision>2</cp:revision>
  <dcterms:created xsi:type="dcterms:W3CDTF">2017-02-17T10:59:00Z</dcterms:created>
  <dcterms:modified xsi:type="dcterms:W3CDTF">2017-02-17T10:59:00Z</dcterms:modified>
</cp:coreProperties>
</file>